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927"/>
        <w:gridCol w:w="4927"/>
      </w:tblGrid>
      <w:tr w:rsidR="007C37C7" w14:paraId="74B2707B" w14:textId="77777777" w:rsidTr="00C2357F">
        <w:tc>
          <w:tcPr>
            <w:tcW w:w="4927" w:type="dxa"/>
          </w:tcPr>
          <w:p w14:paraId="74B27079" w14:textId="77777777" w:rsidR="00827913" w:rsidRPr="007C37C7" w:rsidRDefault="00827913" w:rsidP="00660ADA">
            <w:pPr>
              <w:jc w:val="both"/>
            </w:pPr>
            <w:bookmarkStart w:id="0" w:name="_GoBack"/>
            <w:bookmarkEnd w:id="0"/>
          </w:p>
        </w:tc>
        <w:tc>
          <w:tcPr>
            <w:tcW w:w="4927" w:type="dxa"/>
          </w:tcPr>
          <w:p w14:paraId="74B2707A" w14:textId="77777777" w:rsidR="007C37C7" w:rsidRPr="00C2357F" w:rsidRDefault="00660ADA" w:rsidP="00660ADA">
            <w:pPr>
              <w:jc w:val="both"/>
              <w:rPr>
                <w:b/>
              </w:rPr>
            </w:pPr>
            <w:r>
              <w:rPr>
                <w:noProof/>
              </w:rPr>
              <mc:AlternateContent>
                <mc:Choice Requires="wps">
                  <w:drawing>
                    <wp:anchor distT="0" distB="0" distL="114300" distR="114300" simplePos="0" relativeHeight="251657216" behindDoc="0" locked="0" layoutInCell="1" allowOverlap="1" wp14:anchorId="74B2714E" wp14:editId="74B2714F">
                      <wp:simplePos x="0" y="0"/>
                      <wp:positionH relativeFrom="column">
                        <wp:posOffset>-1145540</wp:posOffset>
                      </wp:positionH>
                      <wp:positionV relativeFrom="paragraph">
                        <wp:posOffset>20320</wp:posOffset>
                      </wp:positionV>
                      <wp:extent cx="2581275" cy="361950"/>
                      <wp:effectExtent l="0" t="0" r="28575"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61950"/>
                              </a:xfrm>
                              <a:prstGeom prst="rect">
                                <a:avLst/>
                              </a:prstGeom>
                              <a:solidFill>
                                <a:srgbClr val="ACA8D0"/>
                              </a:solidFill>
                              <a:ln w="9525">
                                <a:solidFill>
                                  <a:srgbClr val="AA96C0"/>
                                </a:solidFill>
                                <a:miter lim="800000"/>
                                <a:headEnd/>
                                <a:tailEnd/>
                              </a:ln>
                            </wps:spPr>
                            <wps:txbx>
                              <w:txbxContent>
                                <w:p w14:paraId="74B27178" w14:textId="77777777" w:rsidR="00194B2C" w:rsidRPr="00DE37B5" w:rsidRDefault="00194B2C" w:rsidP="006647EF">
                                  <w:pPr>
                                    <w:jc w:val="center"/>
                                    <w:rPr>
                                      <w:rFonts w:ascii="Calibri" w:eastAsia="Calibri" w:hAnsi="Calibri" w:cs="Arial"/>
                                      <w:b/>
                                      <w:sz w:val="36"/>
                                      <w:szCs w:val="36"/>
                                    </w:rPr>
                                  </w:pPr>
                                  <w:r w:rsidRPr="00DE37B5">
                                    <w:rPr>
                                      <w:rFonts w:ascii="Calibri" w:eastAsia="Calibri" w:hAnsi="Calibri" w:cs="Arial"/>
                                      <w:b/>
                                      <w:sz w:val="36"/>
                                      <w:szCs w:val="36"/>
                                    </w:rPr>
                                    <w:t>Scottish Directors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2714E" id="_x0000_t202" coordsize="21600,21600" o:spt="202" path="m,l,21600r21600,l21600,xe">
                      <v:stroke joinstyle="miter"/>
                      <v:path gradientshapeok="t" o:connecttype="rect"/>
                    </v:shapetype>
                    <v:shape id="Text Box 1" o:spid="_x0000_s1026" type="#_x0000_t202" style="position:absolute;left:0;text-align:left;margin-left:-90.2pt;margin-top:1.6pt;width:203.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" fillcolor="#aca8d0" strokecolor="#aa96c0">
                      <v:textbox>
                        <w:txbxContent>
                          <w:p w14:paraId="74B27178" w14:textId="77777777" w:rsidR="00194B2C" w:rsidRPr="00DE37B5" w:rsidRDefault="00194B2C" w:rsidP="006647EF">
                            <w:pPr>
                              <w:jc w:val="center"/>
                              <w:rPr>
                                <w:rFonts w:ascii="Calibri" w:eastAsia="Calibri" w:hAnsi="Calibri" w:cs="Arial"/>
                                <w:b/>
                                <w:sz w:val="36"/>
                                <w:szCs w:val="36"/>
                              </w:rPr>
                            </w:pPr>
                            <w:r w:rsidRPr="00DE37B5">
                              <w:rPr>
                                <w:rFonts w:ascii="Calibri" w:eastAsia="Calibri" w:hAnsi="Calibri" w:cs="Arial"/>
                                <w:b/>
                                <w:sz w:val="36"/>
                                <w:szCs w:val="36"/>
                              </w:rPr>
                              <w:t>Scottish Directors of</w:t>
                            </w:r>
                          </w:p>
                        </w:txbxContent>
                      </v:textbox>
                    </v:shape>
                  </w:pict>
                </mc:Fallback>
              </mc:AlternateContent>
            </w:r>
          </w:p>
        </w:tc>
      </w:tr>
      <w:tr w:rsidR="008B7633" w14:paraId="74B27080" w14:textId="77777777" w:rsidTr="00C2357F">
        <w:tc>
          <w:tcPr>
            <w:tcW w:w="9854" w:type="dxa"/>
            <w:gridSpan w:val="2"/>
          </w:tcPr>
          <w:p w14:paraId="74B2707C" w14:textId="77777777" w:rsidR="008B7633" w:rsidRDefault="008B7633" w:rsidP="00660ADA">
            <w:pPr>
              <w:jc w:val="both"/>
              <w:rPr>
                <w:b/>
              </w:rPr>
            </w:pPr>
          </w:p>
          <w:p w14:paraId="74B2707D" w14:textId="77777777" w:rsidR="006647EF" w:rsidRPr="00786B2E" w:rsidRDefault="00660ADA" w:rsidP="00660ADA">
            <w:pPr>
              <w:jc w:val="both"/>
              <w:rPr>
                <w:rFonts w:ascii="Calibri" w:eastAsia="Calibri" w:hAnsi="Calibri" w:cs="Arial"/>
                <w:b/>
                <w:color w:val="FFFFFF"/>
                <w:sz w:val="36"/>
                <w:szCs w:val="36"/>
              </w:rPr>
            </w:pPr>
            <w:r>
              <w:rPr>
                <w:b/>
                <w:noProof/>
              </w:rPr>
              <mc:AlternateContent>
                <mc:Choice Requires="wps">
                  <w:drawing>
                    <wp:anchor distT="0" distB="0" distL="114300" distR="114300" simplePos="0" relativeHeight="251658240" behindDoc="0" locked="0" layoutInCell="1" allowOverlap="1" wp14:anchorId="74B27150" wp14:editId="74B27151">
                      <wp:simplePos x="0" y="0"/>
                      <wp:positionH relativeFrom="column">
                        <wp:posOffset>1981200</wp:posOffset>
                      </wp:positionH>
                      <wp:positionV relativeFrom="paragraph">
                        <wp:posOffset>31750</wp:posOffset>
                      </wp:positionV>
                      <wp:extent cx="2581275" cy="3714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71475"/>
                              </a:xfrm>
                              <a:prstGeom prst="rect">
                                <a:avLst/>
                              </a:prstGeom>
                              <a:solidFill>
                                <a:srgbClr val="1F497D"/>
                              </a:solidFill>
                              <a:ln w="9525">
                                <a:solidFill>
                                  <a:srgbClr val="000000"/>
                                </a:solidFill>
                                <a:miter lim="800000"/>
                                <a:headEnd/>
                                <a:tailEnd/>
                              </a:ln>
                            </wps:spPr>
                            <wps:txbx>
                              <w:txbxContent>
                                <w:p w14:paraId="74B27179" w14:textId="77777777" w:rsidR="00194B2C" w:rsidRPr="00786B2E" w:rsidRDefault="00194B2C" w:rsidP="006647EF">
                                  <w:pPr>
                                    <w:jc w:val="center"/>
                                    <w:rPr>
                                      <w:rFonts w:ascii="Calibri" w:eastAsia="Calibri" w:hAnsi="Calibri" w:cs="Arial"/>
                                      <w:b/>
                                      <w:color w:val="FFFFFF"/>
                                      <w:sz w:val="36"/>
                                      <w:szCs w:val="36"/>
                                    </w:rPr>
                                  </w:pPr>
                                  <w:r w:rsidRPr="00786B2E">
                                    <w:rPr>
                                      <w:rFonts w:ascii="Calibri" w:eastAsia="Calibri" w:hAnsi="Calibri" w:cs="Arial"/>
                                      <w:b/>
                                      <w:color w:val="FFFFFF"/>
                                      <w:sz w:val="36"/>
                                      <w:szCs w:val="36"/>
                                    </w:rPr>
                                    <w:t>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27150" id="Text Box 2" o:spid="_x0000_s1027" type="#_x0000_t202" style="position:absolute;left:0;text-align:left;margin-left:156pt;margin-top:2.5pt;width:203.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" fillcolor="#1f497d">
                      <v:textbox>
                        <w:txbxContent>
                          <w:p w14:paraId="74B27179" w14:textId="77777777" w:rsidR="00194B2C" w:rsidRPr="00786B2E" w:rsidRDefault="00194B2C" w:rsidP="006647EF">
                            <w:pPr>
                              <w:jc w:val="center"/>
                              <w:rPr>
                                <w:rFonts w:ascii="Calibri" w:eastAsia="Calibri" w:hAnsi="Calibri" w:cs="Arial"/>
                                <w:b/>
                                <w:color w:val="FFFFFF"/>
                                <w:sz w:val="36"/>
                                <w:szCs w:val="36"/>
                              </w:rPr>
                            </w:pPr>
                            <w:r w:rsidRPr="00786B2E">
                              <w:rPr>
                                <w:rFonts w:ascii="Calibri" w:eastAsia="Calibri" w:hAnsi="Calibri" w:cs="Arial"/>
                                <w:b/>
                                <w:color w:val="FFFFFF"/>
                                <w:sz w:val="36"/>
                                <w:szCs w:val="36"/>
                              </w:rPr>
                              <w:t>Public Health</w:t>
                            </w:r>
                          </w:p>
                        </w:txbxContent>
                      </v:textbox>
                    </v:shape>
                  </w:pict>
                </mc:Fallback>
              </mc:AlternateContent>
            </w:r>
            <w:r w:rsidR="006647EF" w:rsidRPr="00786B2E">
              <w:rPr>
                <w:rFonts w:ascii="Calibri" w:eastAsia="Calibri" w:hAnsi="Calibri" w:cs="Arial"/>
                <w:b/>
                <w:color w:val="FFFFFF"/>
                <w:sz w:val="36"/>
                <w:szCs w:val="36"/>
              </w:rPr>
              <w:t>Public Health</w:t>
            </w:r>
          </w:p>
          <w:p w14:paraId="74B2707E" w14:textId="77777777" w:rsidR="006647EF" w:rsidRDefault="006647EF" w:rsidP="00660ADA">
            <w:pPr>
              <w:jc w:val="both"/>
              <w:rPr>
                <w:b/>
              </w:rPr>
            </w:pPr>
          </w:p>
          <w:p w14:paraId="74B2707F" w14:textId="77777777" w:rsidR="006647EF" w:rsidRPr="00C2357F" w:rsidRDefault="006647EF" w:rsidP="00660ADA">
            <w:pPr>
              <w:jc w:val="both"/>
              <w:rPr>
                <w:b/>
              </w:rPr>
            </w:pPr>
          </w:p>
        </w:tc>
      </w:tr>
    </w:tbl>
    <w:p w14:paraId="74B27081" w14:textId="77777777" w:rsidR="006647EF" w:rsidRDefault="00660ADA" w:rsidP="00660ADA">
      <w:pPr>
        <w:jc w:val="center"/>
        <w:rPr>
          <w:rFonts w:cs="Arial"/>
          <w:b/>
          <w:sz w:val="28"/>
          <w:szCs w:val="28"/>
        </w:rPr>
      </w:pPr>
      <w:r w:rsidRPr="00671E98">
        <w:rPr>
          <w:rFonts w:cs="Arial"/>
          <w:b/>
          <w:sz w:val="28"/>
          <w:szCs w:val="28"/>
        </w:rPr>
        <w:t>Position Statement</w:t>
      </w:r>
      <w:r>
        <w:rPr>
          <w:rFonts w:cs="Arial"/>
          <w:b/>
          <w:sz w:val="28"/>
          <w:szCs w:val="28"/>
        </w:rPr>
        <w:t xml:space="preserve">: Healthy Weight </w:t>
      </w:r>
    </w:p>
    <w:p w14:paraId="74B27082" w14:textId="77777777" w:rsidR="00660ADA" w:rsidRDefault="00660ADA" w:rsidP="00660ADA">
      <w:pPr>
        <w:jc w:val="both"/>
        <w:rPr>
          <w:rFonts w:cs="Arial"/>
          <w:b/>
        </w:rPr>
      </w:pPr>
    </w:p>
    <w:p w14:paraId="74B27083" w14:textId="77777777" w:rsidR="006647EF" w:rsidRPr="00630438" w:rsidRDefault="006647EF" w:rsidP="00660ADA">
      <w:pPr>
        <w:jc w:val="both"/>
        <w:rPr>
          <w:rFonts w:cs="Arial"/>
          <w:b/>
          <w:i/>
          <w:sz w:val="28"/>
          <w:szCs w:val="28"/>
        </w:rPr>
      </w:pPr>
      <w:r w:rsidRPr="00630438">
        <w:rPr>
          <w:rFonts w:cs="Arial"/>
          <w:b/>
          <w:sz w:val="28"/>
          <w:szCs w:val="28"/>
        </w:rPr>
        <w:t xml:space="preserve">Public Health Priority 6: </w:t>
      </w:r>
      <w:r w:rsidRPr="00630438">
        <w:rPr>
          <w:rFonts w:cs="Arial"/>
          <w:b/>
          <w:i/>
          <w:sz w:val="28"/>
          <w:szCs w:val="28"/>
        </w:rPr>
        <w:t xml:space="preserve">a Scotland where we eat well, have a </w:t>
      </w:r>
      <w:r w:rsidRPr="00660ADA">
        <w:rPr>
          <w:rFonts w:cs="Arial"/>
          <w:b/>
          <w:i/>
          <w:sz w:val="28"/>
          <w:szCs w:val="28"/>
        </w:rPr>
        <w:t>healthy weight</w:t>
      </w:r>
      <w:r w:rsidRPr="00630438">
        <w:rPr>
          <w:rFonts w:cs="Arial"/>
          <w:b/>
          <w:i/>
          <w:sz w:val="28"/>
          <w:szCs w:val="28"/>
        </w:rPr>
        <w:t xml:space="preserve"> and are physically active</w:t>
      </w:r>
    </w:p>
    <w:p w14:paraId="74B27084" w14:textId="77777777" w:rsidR="006647EF" w:rsidRPr="00630438" w:rsidRDefault="006647EF" w:rsidP="00660ADA">
      <w:pPr>
        <w:jc w:val="both"/>
        <w:rPr>
          <w:rFonts w:cs="Arial"/>
          <w:sz w:val="28"/>
          <w:szCs w:val="28"/>
        </w:rPr>
      </w:pPr>
    </w:p>
    <w:tbl>
      <w:tblPr>
        <w:tblW w:w="0" w:type="auto"/>
        <w:tblLook w:val="04A0" w:firstRow="1" w:lastRow="0" w:firstColumn="1" w:lastColumn="0" w:noHBand="0" w:noVBand="1"/>
      </w:tblPr>
      <w:tblGrid>
        <w:gridCol w:w="550"/>
        <w:gridCol w:w="9916"/>
      </w:tblGrid>
      <w:tr w:rsidR="00727232" w:rsidRPr="0011716C" w14:paraId="74B27087" w14:textId="77777777" w:rsidTr="00660ADA">
        <w:tc>
          <w:tcPr>
            <w:tcW w:w="0" w:type="auto"/>
          </w:tcPr>
          <w:p w14:paraId="74B27085" w14:textId="77777777" w:rsidR="00727232" w:rsidRPr="0011716C" w:rsidRDefault="00727232" w:rsidP="00660ADA">
            <w:pPr>
              <w:jc w:val="both"/>
              <w:rPr>
                <w:b/>
              </w:rPr>
            </w:pPr>
            <w:r w:rsidRPr="0011716C">
              <w:rPr>
                <w:b/>
              </w:rPr>
              <w:t>1.</w:t>
            </w:r>
          </w:p>
        </w:tc>
        <w:tc>
          <w:tcPr>
            <w:tcW w:w="0" w:type="auto"/>
          </w:tcPr>
          <w:p w14:paraId="74B27086" w14:textId="77777777" w:rsidR="00727232" w:rsidRPr="005C3D6F" w:rsidRDefault="00664C4A" w:rsidP="00660ADA">
            <w:pPr>
              <w:jc w:val="both"/>
              <w:rPr>
                <w:b/>
                <w:color w:val="7030A0"/>
              </w:rPr>
            </w:pPr>
            <w:r>
              <w:rPr>
                <w:b/>
              </w:rPr>
              <w:t>Situation</w:t>
            </w:r>
          </w:p>
        </w:tc>
      </w:tr>
      <w:tr w:rsidR="00727232" w:rsidRPr="0011716C" w14:paraId="74B2708A" w14:textId="77777777" w:rsidTr="00660ADA">
        <w:tc>
          <w:tcPr>
            <w:tcW w:w="0" w:type="auto"/>
          </w:tcPr>
          <w:p w14:paraId="74B27088" w14:textId="77777777" w:rsidR="00727232" w:rsidRPr="0011716C" w:rsidRDefault="00727232" w:rsidP="00660ADA">
            <w:pPr>
              <w:jc w:val="both"/>
              <w:rPr>
                <w:b/>
              </w:rPr>
            </w:pPr>
          </w:p>
        </w:tc>
        <w:tc>
          <w:tcPr>
            <w:tcW w:w="0" w:type="auto"/>
          </w:tcPr>
          <w:p w14:paraId="74B27089" w14:textId="77777777" w:rsidR="00727232" w:rsidRPr="007B6255" w:rsidRDefault="00727232" w:rsidP="00660ADA">
            <w:pPr>
              <w:jc w:val="both"/>
              <w:rPr>
                <w:b/>
              </w:rPr>
            </w:pPr>
          </w:p>
        </w:tc>
      </w:tr>
      <w:tr w:rsidR="00827913" w14:paraId="74B27095" w14:textId="77777777" w:rsidTr="00660ADA">
        <w:tc>
          <w:tcPr>
            <w:tcW w:w="0" w:type="auto"/>
          </w:tcPr>
          <w:p w14:paraId="74B2708B" w14:textId="77777777" w:rsidR="00827913" w:rsidRDefault="00827913" w:rsidP="00660ADA">
            <w:pPr>
              <w:jc w:val="both"/>
            </w:pPr>
            <w:r w:rsidRPr="00827913">
              <w:t>1.</w:t>
            </w:r>
            <w:r w:rsidR="009E2259">
              <w:t>1</w:t>
            </w:r>
          </w:p>
          <w:p w14:paraId="74B2708C" w14:textId="77777777" w:rsidR="009E2259" w:rsidRPr="00827913" w:rsidRDefault="009E2259" w:rsidP="00660ADA">
            <w:pPr>
              <w:jc w:val="both"/>
            </w:pPr>
          </w:p>
        </w:tc>
        <w:tc>
          <w:tcPr>
            <w:tcW w:w="0" w:type="auto"/>
          </w:tcPr>
          <w:p w14:paraId="74B2708D" w14:textId="77777777" w:rsidR="003762E3" w:rsidRDefault="003762E3" w:rsidP="00660ADA">
            <w:pPr>
              <w:jc w:val="both"/>
            </w:pPr>
            <w:r w:rsidRPr="007B6255">
              <w:rPr>
                <w:rFonts w:cs="Arial"/>
              </w:rPr>
              <w:t xml:space="preserve">The Scottish Government and COSLA have embarked on an ambitious programme of public health reform to improve population health and reduce health inequalities.  As part of this programme a set of </w:t>
            </w:r>
            <w:r w:rsidRPr="007B6255">
              <w:rPr>
                <w:i/>
              </w:rPr>
              <w:t>Public Health Priorities for Scotland</w:t>
            </w:r>
            <w:r w:rsidRPr="007B6255">
              <w:t xml:space="preserve"> was published in June 2018.  Although some of the priorities address lifestyle topics and others relate to the wider social determinants of health, all are interlinked.   </w:t>
            </w:r>
          </w:p>
          <w:p w14:paraId="74B2708E" w14:textId="77777777" w:rsidR="003762E3" w:rsidRPr="007B6255" w:rsidRDefault="003762E3" w:rsidP="00660ADA">
            <w:pPr>
              <w:jc w:val="both"/>
            </w:pPr>
          </w:p>
          <w:p w14:paraId="74B2708F" w14:textId="77777777" w:rsidR="00793416" w:rsidRPr="00671E98" w:rsidRDefault="001A4F9C" w:rsidP="00660ADA">
            <w:pPr>
              <w:jc w:val="both"/>
              <w:rPr>
                <w:rFonts w:cs="Arial"/>
              </w:rPr>
            </w:pPr>
            <w:r w:rsidRPr="007B6255">
              <w:rPr>
                <w:rFonts w:cs="Arial"/>
              </w:rPr>
              <w:t xml:space="preserve">The purpose of </w:t>
            </w:r>
            <w:r w:rsidRPr="00671E98">
              <w:rPr>
                <w:rFonts w:cs="Arial"/>
              </w:rPr>
              <w:t>this</w:t>
            </w:r>
            <w:r w:rsidR="00BD7D6A">
              <w:rPr>
                <w:rFonts w:cs="Arial"/>
              </w:rPr>
              <w:t xml:space="preserve"> </w:t>
            </w:r>
            <w:r w:rsidR="00793416" w:rsidRPr="00671E98">
              <w:rPr>
                <w:rFonts w:cs="Arial"/>
              </w:rPr>
              <w:t xml:space="preserve">position statement </w:t>
            </w:r>
            <w:r w:rsidRPr="00671E98">
              <w:rPr>
                <w:rFonts w:cs="Arial"/>
              </w:rPr>
              <w:t xml:space="preserve">is to </w:t>
            </w:r>
            <w:r w:rsidR="00793416" w:rsidRPr="00671E98">
              <w:rPr>
                <w:rFonts w:cs="Arial"/>
              </w:rPr>
              <w:t xml:space="preserve">set out what </w:t>
            </w:r>
            <w:r w:rsidRPr="00671E98">
              <w:rPr>
                <w:rFonts w:cs="Arial"/>
              </w:rPr>
              <w:t xml:space="preserve">the Scottish Directors of Public Health </w:t>
            </w:r>
            <w:r w:rsidR="00793416" w:rsidRPr="00671E98">
              <w:rPr>
                <w:rFonts w:cs="Arial"/>
              </w:rPr>
              <w:t xml:space="preserve">will undertake and </w:t>
            </w:r>
            <w:r w:rsidRPr="00671E98">
              <w:rPr>
                <w:rFonts w:cs="Arial"/>
              </w:rPr>
              <w:t xml:space="preserve">coalesce with respect to </w:t>
            </w:r>
            <w:r w:rsidR="00793416" w:rsidRPr="00671E98">
              <w:rPr>
                <w:rFonts w:cs="Arial"/>
              </w:rPr>
              <w:t xml:space="preserve">the national </w:t>
            </w:r>
            <w:r w:rsidR="00BD7D6A">
              <w:rPr>
                <w:rFonts w:cs="Arial"/>
              </w:rPr>
              <w:t>public h</w:t>
            </w:r>
            <w:r w:rsidRPr="00671E98">
              <w:rPr>
                <w:rFonts w:cs="Arial"/>
              </w:rPr>
              <w:t>ealth priority</w:t>
            </w:r>
            <w:r w:rsidR="00BD7D6A">
              <w:rPr>
                <w:rFonts w:cs="Arial"/>
              </w:rPr>
              <w:t xml:space="preserve"> </w:t>
            </w:r>
            <w:r w:rsidRPr="00671E98">
              <w:rPr>
                <w:rFonts w:cs="Arial"/>
              </w:rPr>
              <w:t>6:</w:t>
            </w:r>
          </w:p>
          <w:p w14:paraId="74B27090" w14:textId="77777777" w:rsidR="00793416" w:rsidRPr="003762E3" w:rsidRDefault="00793416" w:rsidP="00660ADA">
            <w:pPr>
              <w:jc w:val="both"/>
              <w:rPr>
                <w:rFonts w:cs="Arial"/>
                <w:i/>
              </w:rPr>
            </w:pPr>
          </w:p>
          <w:p w14:paraId="74B27091" w14:textId="77777777" w:rsidR="001A4F9C" w:rsidRPr="003762E3" w:rsidRDefault="00793416" w:rsidP="00660ADA">
            <w:pPr>
              <w:jc w:val="both"/>
              <w:rPr>
                <w:rFonts w:cs="Arial"/>
                <w:i/>
              </w:rPr>
            </w:pPr>
            <w:r w:rsidRPr="003762E3">
              <w:rPr>
                <w:rFonts w:cs="Arial"/>
                <w:i/>
              </w:rPr>
              <w:t xml:space="preserve">A </w:t>
            </w:r>
            <w:r w:rsidR="001A4F9C" w:rsidRPr="003762E3">
              <w:rPr>
                <w:rFonts w:cs="Arial"/>
                <w:i/>
              </w:rPr>
              <w:t>Scotland where we eat well, have a healthy weight and are physically active.</w:t>
            </w:r>
          </w:p>
          <w:p w14:paraId="74B27092" w14:textId="77777777" w:rsidR="003762E3" w:rsidRPr="003762E3" w:rsidRDefault="003762E3" w:rsidP="00660ADA">
            <w:pPr>
              <w:jc w:val="both"/>
              <w:rPr>
                <w:rFonts w:cs="Arial"/>
                <w:i/>
              </w:rPr>
            </w:pPr>
          </w:p>
          <w:p w14:paraId="74B27093" w14:textId="77777777" w:rsidR="00AA5D3C" w:rsidRPr="007B6255" w:rsidRDefault="003762E3" w:rsidP="00660ADA">
            <w:pPr>
              <w:jc w:val="both"/>
              <w:rPr>
                <w:rFonts w:cs="Arial"/>
              </w:rPr>
            </w:pPr>
            <w:r>
              <w:rPr>
                <w:rFonts w:cs="Arial"/>
              </w:rPr>
              <w:t xml:space="preserve">This ambitious vision is not going to be achieved by a single set of actions. </w:t>
            </w:r>
            <w:r w:rsidR="00BD7D6A">
              <w:rPr>
                <w:rFonts w:cs="Arial"/>
              </w:rPr>
              <w:t xml:space="preserve"> </w:t>
            </w:r>
            <w:r>
              <w:rPr>
                <w:rFonts w:cs="Arial"/>
              </w:rPr>
              <w:t>Rather, it will require concerted action over time. In creating this position statement, we have chosen to focus on aspects which are current challenges to the health of the general population of Scotland: overweight and obesity; and physic</w:t>
            </w:r>
            <w:r w:rsidR="00BD7D6A">
              <w:rPr>
                <w:rFonts w:cs="Arial"/>
              </w:rPr>
              <w:t>al ac</w:t>
            </w:r>
            <w:r>
              <w:rPr>
                <w:rFonts w:cs="Arial"/>
              </w:rPr>
              <w:t>tiv</w:t>
            </w:r>
            <w:r w:rsidR="00BD7D6A">
              <w:rPr>
                <w:rFonts w:cs="Arial"/>
              </w:rPr>
              <w:t>i</w:t>
            </w:r>
            <w:r>
              <w:rPr>
                <w:rFonts w:cs="Arial"/>
              </w:rPr>
              <w:t xml:space="preserve">ty. It is clear that there are wider issues which are encompassed by </w:t>
            </w:r>
            <w:r w:rsidR="00BD7D6A">
              <w:rPr>
                <w:rFonts w:cs="Arial"/>
              </w:rPr>
              <w:t>p</w:t>
            </w:r>
            <w:r>
              <w:rPr>
                <w:rFonts w:cs="Arial"/>
              </w:rPr>
              <w:t xml:space="preserve">ublic </w:t>
            </w:r>
            <w:r w:rsidR="00BD7D6A">
              <w:rPr>
                <w:rFonts w:cs="Arial"/>
              </w:rPr>
              <w:t>h</w:t>
            </w:r>
            <w:r>
              <w:rPr>
                <w:rFonts w:cs="Arial"/>
              </w:rPr>
              <w:t>ealth priority 6, undernutrition</w:t>
            </w:r>
            <w:r w:rsidR="00806571">
              <w:rPr>
                <w:rFonts w:cs="Arial"/>
              </w:rPr>
              <w:t>, food insecurity</w:t>
            </w:r>
            <w:r>
              <w:rPr>
                <w:rFonts w:cs="Arial"/>
              </w:rPr>
              <w:t xml:space="preserve"> and eating disorders being specific cases in point. </w:t>
            </w:r>
            <w:r w:rsidR="00BD7D6A">
              <w:rPr>
                <w:rFonts w:cs="Arial"/>
              </w:rPr>
              <w:t xml:space="preserve"> </w:t>
            </w:r>
            <w:r>
              <w:rPr>
                <w:rFonts w:cs="Arial"/>
              </w:rPr>
              <w:t>It is the intention of the SDsPH to consider such areas in due course.</w:t>
            </w:r>
          </w:p>
          <w:p w14:paraId="74B27094" w14:textId="77777777" w:rsidR="00E5483F" w:rsidRPr="007B6255" w:rsidRDefault="00E5483F" w:rsidP="00660ADA">
            <w:pPr>
              <w:jc w:val="both"/>
              <w:rPr>
                <w:rFonts w:cs="Arial"/>
                <w:szCs w:val="24"/>
              </w:rPr>
            </w:pPr>
          </w:p>
        </w:tc>
      </w:tr>
      <w:tr w:rsidR="00827913" w14:paraId="74B270B0" w14:textId="77777777" w:rsidTr="00660ADA">
        <w:tc>
          <w:tcPr>
            <w:tcW w:w="0" w:type="auto"/>
          </w:tcPr>
          <w:p w14:paraId="74B27096" w14:textId="77777777" w:rsidR="00827913" w:rsidRPr="00827913" w:rsidRDefault="00E5483F" w:rsidP="00660ADA">
            <w:pPr>
              <w:jc w:val="both"/>
            </w:pPr>
            <w:r>
              <w:t>1.2</w:t>
            </w:r>
          </w:p>
        </w:tc>
        <w:tc>
          <w:tcPr>
            <w:tcW w:w="0" w:type="auto"/>
          </w:tcPr>
          <w:p w14:paraId="74B27097" w14:textId="77777777" w:rsidR="00E5483F" w:rsidRPr="00671E98" w:rsidRDefault="00793416" w:rsidP="00660ADA">
            <w:pPr>
              <w:jc w:val="both"/>
            </w:pPr>
            <w:r w:rsidRPr="00671E98">
              <w:t xml:space="preserve">With reference to </w:t>
            </w:r>
            <w:r w:rsidR="00BD7D6A">
              <w:t>p</w:t>
            </w:r>
            <w:r w:rsidRPr="00671E98">
              <w:t xml:space="preserve">ublic </w:t>
            </w:r>
            <w:r w:rsidR="00BD7D6A">
              <w:t>h</w:t>
            </w:r>
            <w:r w:rsidRPr="00671E98">
              <w:t>ealth priority 6</w:t>
            </w:r>
            <w:r w:rsidR="00BD7D6A">
              <w:t>,</w:t>
            </w:r>
            <w:r w:rsidRPr="00671E98">
              <w:t xml:space="preserve"> a </w:t>
            </w:r>
            <w:r w:rsidR="00E5483F" w:rsidRPr="00671E98">
              <w:t xml:space="preserve">number of connected policy frameworks </w:t>
            </w:r>
            <w:r w:rsidRPr="00671E98">
              <w:t xml:space="preserve">have been </w:t>
            </w:r>
            <w:r w:rsidR="00E5483F" w:rsidRPr="00671E98">
              <w:t xml:space="preserve">published: </w:t>
            </w:r>
          </w:p>
          <w:p w14:paraId="74B27098" w14:textId="77777777" w:rsidR="00E5483F" w:rsidRPr="00671E98" w:rsidRDefault="00E5483F" w:rsidP="00660ADA">
            <w:pPr>
              <w:jc w:val="both"/>
            </w:pPr>
          </w:p>
          <w:p w14:paraId="74B27099" w14:textId="77777777" w:rsidR="00E5483F" w:rsidRDefault="00E5483F" w:rsidP="00660ADA">
            <w:pPr>
              <w:numPr>
                <w:ilvl w:val="0"/>
                <w:numId w:val="21"/>
              </w:numPr>
              <w:jc w:val="both"/>
            </w:pPr>
            <w:r w:rsidRPr="008A2E60">
              <w:rPr>
                <w:i/>
              </w:rPr>
              <w:t>A Healthier Future – Scotland’s Diet &amp; Healthy Weight Delivery Plan</w:t>
            </w:r>
            <w:r>
              <w:t>, focus</w:t>
            </w:r>
            <w:r w:rsidR="00E1142B">
              <w:t>es</w:t>
            </w:r>
            <w:r>
              <w:t xml:space="preserve"> on five</w:t>
            </w:r>
            <w:r w:rsidR="00BD7D6A">
              <w:t xml:space="preserve"> </w:t>
            </w:r>
            <w:r>
              <w:t xml:space="preserve">key </w:t>
            </w:r>
            <w:r w:rsidRPr="00827913">
              <w:t>outcomes:</w:t>
            </w:r>
          </w:p>
          <w:p w14:paraId="74B2709A" w14:textId="77777777" w:rsidR="00E5483F" w:rsidRPr="00827913" w:rsidRDefault="00E5483F" w:rsidP="00660ADA">
            <w:pPr>
              <w:pStyle w:val="ListParagraph"/>
              <w:numPr>
                <w:ilvl w:val="0"/>
                <w:numId w:val="5"/>
              </w:numPr>
              <w:jc w:val="both"/>
            </w:pPr>
            <w:r w:rsidRPr="00827913">
              <w:t>Children have the best start in life – they eat well and have a healthy weight</w:t>
            </w:r>
            <w:r w:rsidR="005744D8">
              <w:t>;</w:t>
            </w:r>
          </w:p>
          <w:p w14:paraId="74B2709B" w14:textId="77777777" w:rsidR="00E5483F" w:rsidRPr="00827913" w:rsidRDefault="00E5483F" w:rsidP="00660ADA">
            <w:pPr>
              <w:pStyle w:val="ListParagraph"/>
              <w:numPr>
                <w:ilvl w:val="0"/>
                <w:numId w:val="5"/>
              </w:numPr>
              <w:jc w:val="both"/>
            </w:pPr>
            <w:r w:rsidRPr="00827913">
              <w:t>The food environment supports healthier choices</w:t>
            </w:r>
            <w:r w:rsidR="005744D8">
              <w:t>;</w:t>
            </w:r>
          </w:p>
          <w:p w14:paraId="74B2709C" w14:textId="77777777" w:rsidR="00E5483F" w:rsidRPr="00827913" w:rsidRDefault="00E5483F" w:rsidP="00660ADA">
            <w:pPr>
              <w:pStyle w:val="ListParagraph"/>
              <w:numPr>
                <w:ilvl w:val="0"/>
                <w:numId w:val="5"/>
              </w:numPr>
              <w:jc w:val="both"/>
            </w:pPr>
            <w:r w:rsidRPr="00827913">
              <w:t>People have access to effective weight management services</w:t>
            </w:r>
            <w:r w:rsidR="005744D8">
              <w:t>;</w:t>
            </w:r>
          </w:p>
          <w:p w14:paraId="74B2709D" w14:textId="77777777" w:rsidR="00E5483F" w:rsidRPr="00827913" w:rsidRDefault="00E5483F" w:rsidP="00660ADA">
            <w:pPr>
              <w:pStyle w:val="ListParagraph"/>
              <w:numPr>
                <w:ilvl w:val="0"/>
                <w:numId w:val="5"/>
              </w:numPr>
              <w:jc w:val="both"/>
            </w:pPr>
            <w:r w:rsidRPr="00827913">
              <w:t>Leaders across all sectors promote healthy diet and weight</w:t>
            </w:r>
            <w:r w:rsidR="005744D8">
              <w:t>; and</w:t>
            </w:r>
          </w:p>
          <w:p w14:paraId="74B2709E" w14:textId="77777777" w:rsidR="00E5483F" w:rsidRDefault="00E5483F" w:rsidP="00660ADA">
            <w:pPr>
              <w:pStyle w:val="ListParagraph"/>
              <w:numPr>
                <w:ilvl w:val="0"/>
                <w:numId w:val="5"/>
              </w:numPr>
              <w:jc w:val="both"/>
            </w:pPr>
            <w:r w:rsidRPr="00827913">
              <w:t>Diet-related health inequalities are reduced.</w:t>
            </w:r>
          </w:p>
          <w:p w14:paraId="74B2709F" w14:textId="77777777" w:rsidR="00827913" w:rsidRDefault="00827913" w:rsidP="00660ADA">
            <w:pPr>
              <w:jc w:val="both"/>
            </w:pPr>
          </w:p>
          <w:p w14:paraId="74B270A0" w14:textId="77777777" w:rsidR="005C7610" w:rsidRDefault="00E5483F" w:rsidP="00660ADA">
            <w:pPr>
              <w:numPr>
                <w:ilvl w:val="0"/>
                <w:numId w:val="21"/>
              </w:numPr>
              <w:jc w:val="both"/>
            </w:pPr>
            <w:r>
              <w:rPr>
                <w:rFonts w:cs="Arial"/>
                <w:i/>
              </w:rPr>
              <w:t xml:space="preserve">Framework for the </w:t>
            </w:r>
            <w:r w:rsidRPr="0034344F">
              <w:rPr>
                <w:rFonts w:cs="Arial"/>
                <w:i/>
              </w:rPr>
              <w:t>Prevention, Early Intervention and Early Detection</w:t>
            </w:r>
            <w:r>
              <w:rPr>
                <w:rFonts w:cs="Arial"/>
                <w:i/>
              </w:rPr>
              <w:t xml:space="preserve"> of type 2 diabetes</w:t>
            </w:r>
            <w:r w:rsidR="00E1142B">
              <w:rPr>
                <w:rFonts w:cs="Arial"/>
              </w:rPr>
              <w:t>, focuses on the provision of comprehensive weight management services at four levels</w:t>
            </w:r>
            <w:r w:rsidR="00E1142B">
              <w:t>:</w:t>
            </w:r>
          </w:p>
          <w:p w14:paraId="74B270A1" w14:textId="77777777" w:rsidR="00E1142B" w:rsidRDefault="00E1142B" w:rsidP="00660ADA">
            <w:pPr>
              <w:numPr>
                <w:ilvl w:val="0"/>
                <w:numId w:val="20"/>
              </w:numPr>
              <w:jc w:val="both"/>
            </w:pPr>
            <w:r>
              <w:t>Universal services, health promotion and early detection</w:t>
            </w:r>
            <w:r w:rsidR="005744D8">
              <w:t>;</w:t>
            </w:r>
          </w:p>
          <w:p w14:paraId="74B270A2" w14:textId="77777777" w:rsidR="00E1142B" w:rsidRDefault="00E1142B" w:rsidP="00660ADA">
            <w:pPr>
              <w:numPr>
                <w:ilvl w:val="0"/>
                <w:numId w:val="20"/>
              </w:numPr>
              <w:jc w:val="both"/>
            </w:pPr>
            <w:r>
              <w:t>Early detection and ea</w:t>
            </w:r>
            <w:r w:rsidR="007D4023">
              <w:t>r</w:t>
            </w:r>
            <w:r>
              <w:t>ly intervention</w:t>
            </w:r>
            <w:r w:rsidR="005744D8">
              <w:t>;</w:t>
            </w:r>
          </w:p>
          <w:p w14:paraId="74B270A3" w14:textId="77777777" w:rsidR="00E1142B" w:rsidRDefault="00E1142B" w:rsidP="00660ADA">
            <w:pPr>
              <w:numPr>
                <w:ilvl w:val="0"/>
                <w:numId w:val="20"/>
              </w:numPr>
              <w:jc w:val="both"/>
            </w:pPr>
            <w:r>
              <w:t>Targeted intervention</w:t>
            </w:r>
            <w:r w:rsidR="005744D8">
              <w:t>; and</w:t>
            </w:r>
          </w:p>
          <w:p w14:paraId="74B270A4" w14:textId="77777777" w:rsidR="00E1142B" w:rsidRDefault="00E1142B" w:rsidP="00660ADA">
            <w:pPr>
              <w:numPr>
                <w:ilvl w:val="0"/>
                <w:numId w:val="20"/>
              </w:numPr>
              <w:jc w:val="both"/>
            </w:pPr>
            <w:r>
              <w:t>Complex case management.</w:t>
            </w:r>
          </w:p>
          <w:p w14:paraId="74B270A5" w14:textId="77777777" w:rsidR="00397032" w:rsidRDefault="00397032" w:rsidP="00660ADA">
            <w:pPr>
              <w:ind w:left="360"/>
              <w:jc w:val="both"/>
            </w:pPr>
          </w:p>
          <w:p w14:paraId="74B270A6" w14:textId="77777777" w:rsidR="00E1142B" w:rsidRDefault="00E1142B" w:rsidP="00660ADA">
            <w:pPr>
              <w:numPr>
                <w:ilvl w:val="0"/>
                <w:numId w:val="21"/>
              </w:numPr>
              <w:jc w:val="both"/>
            </w:pPr>
            <w:r w:rsidRPr="00854E1C">
              <w:rPr>
                <w:i/>
              </w:rPr>
              <w:t>A More Active Scotland: Scotland’s Physical Activity Delivery Plan</w:t>
            </w:r>
            <w:r>
              <w:t>, focuses on six key outcomes:</w:t>
            </w:r>
          </w:p>
          <w:p w14:paraId="74B270A7" w14:textId="77777777" w:rsidR="00E1142B" w:rsidRDefault="00E1142B" w:rsidP="00660ADA">
            <w:pPr>
              <w:numPr>
                <w:ilvl w:val="0"/>
                <w:numId w:val="22"/>
              </w:numPr>
              <w:jc w:val="both"/>
            </w:pPr>
            <w:r>
              <w:t>We encourage and enable the inactive to be more active</w:t>
            </w:r>
            <w:r w:rsidR="005744D8">
              <w:t>;</w:t>
            </w:r>
          </w:p>
          <w:p w14:paraId="74B270A8" w14:textId="77777777" w:rsidR="00E1142B" w:rsidRDefault="00E1142B" w:rsidP="00660ADA">
            <w:pPr>
              <w:numPr>
                <w:ilvl w:val="0"/>
                <w:numId w:val="22"/>
              </w:numPr>
              <w:jc w:val="both"/>
            </w:pPr>
            <w:r>
              <w:t>We encourage and enable the active to stay active throughout life</w:t>
            </w:r>
            <w:r w:rsidR="005744D8">
              <w:t>;</w:t>
            </w:r>
          </w:p>
          <w:p w14:paraId="74B270A9" w14:textId="77777777" w:rsidR="00E1142B" w:rsidRDefault="00E1142B" w:rsidP="00660ADA">
            <w:pPr>
              <w:numPr>
                <w:ilvl w:val="0"/>
                <w:numId w:val="22"/>
              </w:numPr>
              <w:jc w:val="both"/>
            </w:pPr>
            <w:r>
              <w:t>We develop physical confidence and competence from the earliest age</w:t>
            </w:r>
            <w:r w:rsidR="005744D8">
              <w:t>;</w:t>
            </w:r>
          </w:p>
          <w:p w14:paraId="74B270AA" w14:textId="77777777" w:rsidR="00E1142B" w:rsidRDefault="00E1142B" w:rsidP="00660ADA">
            <w:pPr>
              <w:numPr>
                <w:ilvl w:val="0"/>
                <w:numId w:val="22"/>
              </w:numPr>
              <w:jc w:val="both"/>
            </w:pPr>
            <w:r>
              <w:t>We improve our active infrastructure – people and places</w:t>
            </w:r>
            <w:r w:rsidR="005744D8">
              <w:t>;</w:t>
            </w:r>
          </w:p>
          <w:p w14:paraId="74B270AB" w14:textId="77777777" w:rsidR="00E1142B" w:rsidRDefault="00E1142B" w:rsidP="00660ADA">
            <w:pPr>
              <w:numPr>
                <w:ilvl w:val="0"/>
                <w:numId w:val="22"/>
              </w:numPr>
              <w:jc w:val="both"/>
            </w:pPr>
            <w:r>
              <w:lastRenderedPageBreak/>
              <w:t>We support wellbeing and resilience in communities through physical activity and sport</w:t>
            </w:r>
            <w:r w:rsidR="005744D8">
              <w:t>; and</w:t>
            </w:r>
          </w:p>
          <w:p w14:paraId="74B270AC" w14:textId="77777777" w:rsidR="00E1142B" w:rsidRDefault="00E1142B" w:rsidP="00660ADA">
            <w:pPr>
              <w:numPr>
                <w:ilvl w:val="0"/>
                <w:numId w:val="22"/>
              </w:numPr>
              <w:jc w:val="both"/>
            </w:pPr>
            <w:r>
              <w:t>We improve opportunities to participate, progress and achieve in sport.</w:t>
            </w:r>
          </w:p>
          <w:p w14:paraId="74B270AD" w14:textId="77777777" w:rsidR="002250D6" w:rsidRDefault="002250D6" w:rsidP="00660ADA">
            <w:pPr>
              <w:jc w:val="both"/>
            </w:pPr>
          </w:p>
          <w:p w14:paraId="74B270AE" w14:textId="77777777" w:rsidR="002250D6" w:rsidRDefault="002250D6" w:rsidP="00660ADA">
            <w:pPr>
              <w:jc w:val="both"/>
            </w:pPr>
            <w:r>
              <w:t>All of these policy frameworks are underpinned by</w:t>
            </w:r>
            <w:r w:rsidR="00245609">
              <w:t xml:space="preserve"> assessment of population need and by</w:t>
            </w:r>
            <w:r>
              <w:t xml:space="preserve"> the same principles of reducing health inequalities, collective leadership and partnerships,</w:t>
            </w:r>
            <w:r w:rsidR="00245609">
              <w:t xml:space="preserve"> an asset-based approach,</w:t>
            </w:r>
            <w:r>
              <w:t xml:space="preserve"> co-production, person centred approaches</w:t>
            </w:r>
            <w:r w:rsidR="002E3F4E">
              <w:t xml:space="preserve">, </w:t>
            </w:r>
            <w:r>
              <w:t>values based care, evidence based interventions and population wide measures.</w:t>
            </w:r>
          </w:p>
          <w:p w14:paraId="74B270AF" w14:textId="77777777" w:rsidR="00E1142B" w:rsidRPr="00827913" w:rsidRDefault="00E1142B" w:rsidP="00660ADA">
            <w:pPr>
              <w:jc w:val="both"/>
            </w:pPr>
          </w:p>
        </w:tc>
      </w:tr>
      <w:tr w:rsidR="005D6663" w14:paraId="74B270C0" w14:textId="77777777" w:rsidTr="00660ADA">
        <w:tc>
          <w:tcPr>
            <w:tcW w:w="0" w:type="auto"/>
          </w:tcPr>
          <w:p w14:paraId="74B270B1" w14:textId="77777777" w:rsidR="00C644E8" w:rsidRDefault="005D6663" w:rsidP="00660ADA">
            <w:pPr>
              <w:jc w:val="both"/>
            </w:pPr>
            <w:r>
              <w:lastRenderedPageBreak/>
              <w:t>1.3</w:t>
            </w:r>
          </w:p>
          <w:p w14:paraId="74B270B2" w14:textId="77777777" w:rsidR="005D6663" w:rsidRDefault="005D6663" w:rsidP="00660ADA">
            <w:pPr>
              <w:jc w:val="both"/>
            </w:pPr>
          </w:p>
          <w:p w14:paraId="74B270B3" w14:textId="77777777" w:rsidR="005744D8" w:rsidRDefault="005744D8" w:rsidP="00660ADA">
            <w:pPr>
              <w:jc w:val="both"/>
            </w:pPr>
          </w:p>
          <w:p w14:paraId="74B270B4" w14:textId="77777777" w:rsidR="005744D8" w:rsidRDefault="005744D8" w:rsidP="00660ADA">
            <w:pPr>
              <w:jc w:val="both"/>
            </w:pPr>
          </w:p>
          <w:p w14:paraId="74B270B5" w14:textId="77777777" w:rsidR="005744D8" w:rsidRDefault="005744D8" w:rsidP="00660ADA">
            <w:pPr>
              <w:jc w:val="both"/>
            </w:pPr>
          </w:p>
          <w:p w14:paraId="74B270B6" w14:textId="77777777" w:rsidR="005744D8" w:rsidRDefault="005744D8" w:rsidP="00660ADA">
            <w:pPr>
              <w:jc w:val="both"/>
            </w:pPr>
          </w:p>
          <w:p w14:paraId="74B270B7" w14:textId="77777777" w:rsidR="005744D8" w:rsidRDefault="005744D8" w:rsidP="00660ADA">
            <w:pPr>
              <w:jc w:val="both"/>
            </w:pPr>
          </w:p>
          <w:p w14:paraId="74B270B8" w14:textId="77777777" w:rsidR="005744D8" w:rsidRDefault="005744D8" w:rsidP="00660ADA">
            <w:pPr>
              <w:jc w:val="both"/>
            </w:pPr>
          </w:p>
          <w:p w14:paraId="74B270B9" w14:textId="77777777" w:rsidR="005744D8" w:rsidRDefault="005744D8" w:rsidP="00660ADA">
            <w:pPr>
              <w:jc w:val="both"/>
            </w:pPr>
          </w:p>
          <w:p w14:paraId="74B270BA" w14:textId="77777777" w:rsidR="005744D8" w:rsidRDefault="005744D8" w:rsidP="00660ADA">
            <w:pPr>
              <w:jc w:val="both"/>
            </w:pPr>
          </w:p>
          <w:p w14:paraId="74B270BB" w14:textId="77777777" w:rsidR="005744D8" w:rsidRDefault="005744D8" w:rsidP="00660ADA">
            <w:pPr>
              <w:jc w:val="both"/>
            </w:pPr>
          </w:p>
        </w:tc>
        <w:tc>
          <w:tcPr>
            <w:tcW w:w="0" w:type="auto"/>
          </w:tcPr>
          <w:p w14:paraId="74B270BC" w14:textId="77777777" w:rsidR="005D6663" w:rsidRPr="00671E98" w:rsidRDefault="00793416" w:rsidP="00660ADA">
            <w:pPr>
              <w:jc w:val="both"/>
            </w:pPr>
            <w:r w:rsidRPr="00671E98">
              <w:t>The Scottish Directors of Public Health acknowledge their key role</w:t>
            </w:r>
            <w:r w:rsidR="00245609">
              <w:t xml:space="preserve"> individually and collectively</w:t>
            </w:r>
            <w:r w:rsidRPr="00671E98">
              <w:t xml:space="preserve"> in working with partners</w:t>
            </w:r>
            <w:r w:rsidR="00245609">
              <w:t xml:space="preserve"> locally and nationally</w:t>
            </w:r>
            <w:r w:rsidRPr="00671E98">
              <w:t xml:space="preserve"> to achieve the implementation of a</w:t>
            </w:r>
            <w:r w:rsidR="007E2621" w:rsidRPr="00671E98">
              <w:t xml:space="preserve"> range of actions which create environments where people live and work</w:t>
            </w:r>
            <w:r w:rsidR="00C25128">
              <w:t xml:space="preserve">, and </w:t>
            </w:r>
            <w:r w:rsidR="007E2621" w:rsidRPr="00671E98">
              <w:t>support opportunities for eating well, having a healthy weight and being physically active.</w:t>
            </w:r>
          </w:p>
          <w:p w14:paraId="74B270BD" w14:textId="77777777" w:rsidR="005744D8" w:rsidRDefault="005744D8" w:rsidP="00660ADA">
            <w:pPr>
              <w:jc w:val="both"/>
            </w:pPr>
          </w:p>
          <w:p w14:paraId="74B270BE" w14:textId="77777777" w:rsidR="005744D8" w:rsidRDefault="005744D8" w:rsidP="00660ADA">
            <w:pPr>
              <w:jc w:val="both"/>
            </w:pPr>
            <w:r>
              <w:t>This statement focusses on the healthy weight aspects of public health priority 6, recognising the contributions tha</w:t>
            </w:r>
            <w:r w:rsidR="00660ADA">
              <w:t>t</w:t>
            </w:r>
            <w:r>
              <w:t xml:space="preserve"> eating well and physical activity can make to achieving a healthy weight. However, the benefits of eating well and </w:t>
            </w:r>
            <w:r w:rsidR="007E2621" w:rsidRPr="00671E98">
              <w:t>of being physically active are relevant to many other aspects of health</w:t>
            </w:r>
            <w:r>
              <w:t xml:space="preserve"> and wellbeing. For this reason, both eating well and </w:t>
            </w:r>
            <w:r w:rsidR="007E2621" w:rsidRPr="00671E98">
              <w:t>physical activity will also be addressed</w:t>
            </w:r>
            <w:r w:rsidR="00245609">
              <w:t xml:space="preserve"> in more detail</w:t>
            </w:r>
            <w:r>
              <w:t xml:space="preserve"> in </w:t>
            </w:r>
            <w:r w:rsidR="007E2621" w:rsidRPr="00671E98">
              <w:t>separate position statement</w:t>
            </w:r>
            <w:r>
              <w:t>s</w:t>
            </w:r>
            <w:r w:rsidR="007E2621" w:rsidRPr="00671E98">
              <w:t>.</w:t>
            </w:r>
          </w:p>
          <w:p w14:paraId="74B270BF" w14:textId="77777777" w:rsidR="005D6663" w:rsidRDefault="005D6663" w:rsidP="00660ADA">
            <w:pPr>
              <w:jc w:val="both"/>
            </w:pPr>
          </w:p>
        </w:tc>
      </w:tr>
      <w:tr w:rsidR="00727232" w:rsidRPr="0011716C" w14:paraId="74B270C3" w14:textId="77777777" w:rsidTr="00660ADA">
        <w:tc>
          <w:tcPr>
            <w:tcW w:w="0" w:type="auto"/>
          </w:tcPr>
          <w:p w14:paraId="74B270C1" w14:textId="77777777" w:rsidR="00727232" w:rsidRPr="0011716C" w:rsidRDefault="00727232" w:rsidP="00660ADA">
            <w:pPr>
              <w:jc w:val="both"/>
              <w:rPr>
                <w:b/>
              </w:rPr>
            </w:pPr>
            <w:r w:rsidRPr="0011716C">
              <w:rPr>
                <w:b/>
              </w:rPr>
              <w:t>2.</w:t>
            </w:r>
          </w:p>
        </w:tc>
        <w:tc>
          <w:tcPr>
            <w:tcW w:w="0" w:type="auto"/>
          </w:tcPr>
          <w:p w14:paraId="74B270C2" w14:textId="77777777" w:rsidR="00727232" w:rsidRPr="0011716C" w:rsidRDefault="00664C4A" w:rsidP="00660ADA">
            <w:pPr>
              <w:jc w:val="both"/>
              <w:rPr>
                <w:b/>
              </w:rPr>
            </w:pPr>
            <w:r>
              <w:rPr>
                <w:b/>
              </w:rPr>
              <w:t>Background</w:t>
            </w:r>
          </w:p>
        </w:tc>
      </w:tr>
      <w:tr w:rsidR="00727232" w:rsidRPr="0011716C" w14:paraId="74B270C6" w14:textId="77777777" w:rsidTr="00660ADA">
        <w:tc>
          <w:tcPr>
            <w:tcW w:w="0" w:type="auto"/>
          </w:tcPr>
          <w:p w14:paraId="74B270C4" w14:textId="77777777" w:rsidR="00727232" w:rsidRPr="0011716C" w:rsidRDefault="00727232" w:rsidP="00660ADA">
            <w:pPr>
              <w:jc w:val="both"/>
              <w:rPr>
                <w:b/>
              </w:rPr>
            </w:pPr>
          </w:p>
        </w:tc>
        <w:tc>
          <w:tcPr>
            <w:tcW w:w="0" w:type="auto"/>
          </w:tcPr>
          <w:p w14:paraId="74B270C5" w14:textId="77777777" w:rsidR="00727232" w:rsidRPr="005C3D6F" w:rsidRDefault="00727232" w:rsidP="00660ADA">
            <w:pPr>
              <w:jc w:val="both"/>
              <w:rPr>
                <w:b/>
                <w:highlight w:val="yellow"/>
              </w:rPr>
            </w:pPr>
          </w:p>
        </w:tc>
      </w:tr>
      <w:tr w:rsidR="00827913" w:rsidRPr="00D803E7" w14:paraId="74B270CD" w14:textId="77777777" w:rsidTr="00660ADA">
        <w:tc>
          <w:tcPr>
            <w:tcW w:w="0" w:type="auto"/>
          </w:tcPr>
          <w:p w14:paraId="74B270C7" w14:textId="77777777" w:rsidR="00827913" w:rsidRDefault="00827913" w:rsidP="00660ADA">
            <w:pPr>
              <w:jc w:val="both"/>
            </w:pPr>
            <w:r w:rsidRPr="00827913">
              <w:t>2.1</w:t>
            </w:r>
          </w:p>
          <w:p w14:paraId="74B270C8" w14:textId="77777777" w:rsidR="00082B67" w:rsidRDefault="00082B67" w:rsidP="00660ADA">
            <w:pPr>
              <w:jc w:val="both"/>
            </w:pPr>
          </w:p>
          <w:p w14:paraId="74B270C9" w14:textId="77777777" w:rsidR="00082B67" w:rsidRDefault="00082B67" w:rsidP="00660ADA">
            <w:pPr>
              <w:jc w:val="both"/>
            </w:pPr>
          </w:p>
          <w:p w14:paraId="74B270CA" w14:textId="77777777" w:rsidR="00082B67" w:rsidRPr="00827913" w:rsidRDefault="00082B67" w:rsidP="00660ADA">
            <w:pPr>
              <w:jc w:val="both"/>
            </w:pPr>
          </w:p>
        </w:tc>
        <w:tc>
          <w:tcPr>
            <w:tcW w:w="0" w:type="auto"/>
          </w:tcPr>
          <w:p w14:paraId="74B270CB" w14:textId="77777777" w:rsidR="00E1142B" w:rsidRPr="00671E98" w:rsidRDefault="001D2038" w:rsidP="00660ADA">
            <w:pPr>
              <w:jc w:val="both"/>
            </w:pPr>
            <w:r w:rsidRPr="00047651">
              <w:rPr>
                <w:rFonts w:cs="Arial"/>
              </w:rPr>
              <w:t>Poor diet, low physical activity levels, sedentary behaviour and being above a healthy weight, together, place a substantial economic burden on the NHS</w:t>
            </w:r>
            <w:r w:rsidR="00535627" w:rsidRPr="00047651">
              <w:rPr>
                <w:rFonts w:cs="Arial"/>
              </w:rPr>
              <w:t xml:space="preserve"> as well as the consequences of ill health to individuals and their families.</w:t>
            </w:r>
            <w:r w:rsidR="00C25128">
              <w:rPr>
                <w:rFonts w:cs="Arial"/>
              </w:rPr>
              <w:t xml:space="preserve">  </w:t>
            </w:r>
            <w:r w:rsidR="007B6255" w:rsidRPr="00047651">
              <w:rPr>
                <w:rFonts w:cs="Arial"/>
              </w:rPr>
              <w:t xml:space="preserve">Eating a diet rich in wholegrain foods, oily fish, fruit and vegetables, and low in sugar, fat, salt and processed foods is known to significantly reduce the risk of a range of non communicable diseases.  </w:t>
            </w:r>
            <w:r w:rsidR="00047651" w:rsidRPr="00671E98">
              <w:rPr>
                <w:rFonts w:cs="Arial"/>
              </w:rPr>
              <w:t>Physical act</w:t>
            </w:r>
            <w:r w:rsidR="007E2621" w:rsidRPr="00671E98">
              <w:rPr>
                <w:rFonts w:cs="Arial"/>
              </w:rPr>
              <w:t>ivity can improve metabolic heal</w:t>
            </w:r>
            <w:r w:rsidR="00047651" w:rsidRPr="00671E98">
              <w:rPr>
                <w:rFonts w:cs="Arial"/>
              </w:rPr>
              <w:t xml:space="preserve">th reducing the risk of developing </w:t>
            </w:r>
            <w:r w:rsidR="00C25128">
              <w:rPr>
                <w:rFonts w:cs="Arial"/>
              </w:rPr>
              <w:t>t</w:t>
            </w:r>
            <w:r w:rsidR="00047651" w:rsidRPr="00671E98">
              <w:rPr>
                <w:rFonts w:cs="Arial"/>
              </w:rPr>
              <w:t>ype</w:t>
            </w:r>
            <w:r w:rsidR="00C25128">
              <w:rPr>
                <w:rFonts w:cs="Arial"/>
              </w:rPr>
              <w:t xml:space="preserve"> </w:t>
            </w:r>
            <w:r w:rsidR="00047651" w:rsidRPr="00671E98">
              <w:rPr>
                <w:rFonts w:cs="Arial"/>
              </w:rPr>
              <w:t>2 diabetes and can help maintain a healthy weight and support weight loss</w:t>
            </w:r>
            <w:r w:rsidR="00C25128">
              <w:rPr>
                <w:rFonts w:cs="Arial"/>
              </w:rPr>
              <w:t>.</w:t>
            </w:r>
          </w:p>
          <w:p w14:paraId="74B270CC" w14:textId="77777777" w:rsidR="00DE6560" w:rsidRPr="00047651" w:rsidRDefault="00DE6560" w:rsidP="00660ADA">
            <w:pPr>
              <w:jc w:val="both"/>
            </w:pPr>
          </w:p>
        </w:tc>
      </w:tr>
      <w:tr w:rsidR="00827913" w:rsidRPr="00827913" w14:paraId="74B270E6" w14:textId="77777777" w:rsidTr="00660ADA">
        <w:tc>
          <w:tcPr>
            <w:tcW w:w="0" w:type="auto"/>
          </w:tcPr>
          <w:p w14:paraId="74B270CE" w14:textId="77777777" w:rsidR="00827913" w:rsidRPr="00827913" w:rsidRDefault="00827913" w:rsidP="00660ADA">
            <w:pPr>
              <w:jc w:val="both"/>
            </w:pPr>
            <w:r w:rsidRPr="00827913">
              <w:t>2.2</w:t>
            </w:r>
          </w:p>
        </w:tc>
        <w:tc>
          <w:tcPr>
            <w:tcW w:w="0" w:type="auto"/>
          </w:tcPr>
          <w:p w14:paraId="74B270CF" w14:textId="77777777" w:rsidR="00082B67" w:rsidRDefault="00082B67" w:rsidP="00660ADA">
            <w:pPr>
              <w:jc w:val="both"/>
            </w:pPr>
            <w:r>
              <w:t xml:space="preserve">The following statistics from national surveys and surveillance programmes provide an indication of the nutritional wellbeing </w:t>
            </w:r>
            <w:r w:rsidR="00630438">
              <w:t xml:space="preserve">and physical activity levels among the </w:t>
            </w:r>
            <w:r>
              <w:t>population in Scotl</w:t>
            </w:r>
            <w:r w:rsidR="00B6302F">
              <w:t>and in 2017</w:t>
            </w:r>
            <w:r w:rsidR="002E5BB4">
              <w:t>, unless otherwise stated</w:t>
            </w:r>
            <w:r w:rsidR="00B6302F">
              <w:t>.  Across all of the</w:t>
            </w:r>
            <w:r>
              <w:t xml:space="preserve"> measures </w:t>
            </w:r>
            <w:r w:rsidR="00B6302F">
              <w:t xml:space="preserve">described </w:t>
            </w:r>
            <w:r>
              <w:t>there were marked inequalities; those living in the most deprived areas fared worse than those in the least deprived areas.</w:t>
            </w:r>
          </w:p>
          <w:p w14:paraId="74B270D0" w14:textId="77777777" w:rsidR="004372DB" w:rsidRDefault="004372DB" w:rsidP="00660ADA">
            <w:pPr>
              <w:jc w:val="both"/>
            </w:pPr>
          </w:p>
          <w:p w14:paraId="74B270D1" w14:textId="77777777" w:rsidR="00082B67" w:rsidRPr="00A2424F" w:rsidRDefault="004372DB" w:rsidP="00660ADA">
            <w:pPr>
              <w:jc w:val="both"/>
              <w:rPr>
                <w:rFonts w:cs="Arial"/>
                <w:b/>
              </w:rPr>
            </w:pPr>
            <w:r w:rsidRPr="00A2424F">
              <w:rPr>
                <w:rFonts w:cs="Arial"/>
                <w:b/>
              </w:rPr>
              <w:t>Preconception and pregnancy</w:t>
            </w:r>
          </w:p>
          <w:p w14:paraId="74B270D2" w14:textId="77777777" w:rsidR="00082B67" w:rsidRDefault="00B6302F" w:rsidP="00660ADA">
            <w:pPr>
              <w:numPr>
                <w:ilvl w:val="0"/>
                <w:numId w:val="21"/>
              </w:numPr>
              <w:jc w:val="both"/>
              <w:rPr>
                <w:rFonts w:cs="Arial"/>
              </w:rPr>
            </w:pPr>
            <w:r>
              <w:rPr>
                <w:rFonts w:cs="Arial"/>
              </w:rPr>
              <w:t xml:space="preserve">The nutritional wellbeing and weight of a mother prior to pregnancy has a profound </w:t>
            </w:r>
            <w:r w:rsidR="00923133">
              <w:rPr>
                <w:rFonts w:cs="Arial"/>
              </w:rPr>
              <w:t>lifelong</w:t>
            </w:r>
            <w:r>
              <w:rPr>
                <w:rFonts w:cs="Arial"/>
              </w:rPr>
              <w:t xml:space="preserve"> effect on the health of her </w:t>
            </w:r>
            <w:r w:rsidR="00630438">
              <w:rPr>
                <w:rFonts w:cs="Arial"/>
              </w:rPr>
              <w:t xml:space="preserve">unborn </w:t>
            </w:r>
            <w:r>
              <w:rPr>
                <w:rFonts w:cs="Arial"/>
              </w:rPr>
              <w:t xml:space="preserve">baby and </w:t>
            </w:r>
            <w:r w:rsidR="00630438">
              <w:rPr>
                <w:rFonts w:cs="Arial"/>
              </w:rPr>
              <w:t xml:space="preserve">on </w:t>
            </w:r>
            <w:r>
              <w:rPr>
                <w:rFonts w:cs="Arial"/>
              </w:rPr>
              <w:t xml:space="preserve">subsequent generations.  </w:t>
            </w:r>
            <w:r w:rsidR="00245609">
              <w:rPr>
                <w:rFonts w:cs="Arial"/>
              </w:rPr>
              <w:t xml:space="preserve">Only </w:t>
            </w:r>
            <w:r w:rsidR="00082B67">
              <w:rPr>
                <w:rFonts w:cs="Arial"/>
              </w:rPr>
              <w:t>53% of women in Scotland reported that they took folic acid supplementation prior to pregnancy</w:t>
            </w:r>
            <w:r w:rsidR="002D239B">
              <w:rPr>
                <w:rFonts w:cs="Arial"/>
              </w:rPr>
              <w:t>; 41% of women in the most deprived areas reported they took a folic acid supplement compared to 67% in the least depr</w:t>
            </w:r>
            <w:r w:rsidR="00AC73C9">
              <w:rPr>
                <w:rFonts w:cs="Arial"/>
              </w:rPr>
              <w:t>i</w:t>
            </w:r>
            <w:r w:rsidR="002D239B">
              <w:rPr>
                <w:rFonts w:cs="Arial"/>
              </w:rPr>
              <w:t>ved areas</w:t>
            </w:r>
            <w:r w:rsidR="0007158B">
              <w:rPr>
                <w:rStyle w:val="FootnoteReference"/>
                <w:rFonts w:cs="Arial"/>
              </w:rPr>
              <w:footnoteReference w:id="2"/>
            </w:r>
            <w:r w:rsidR="002D239B">
              <w:rPr>
                <w:rFonts w:cs="Arial"/>
              </w:rPr>
              <w:t xml:space="preserve">.  Half </w:t>
            </w:r>
            <w:r w:rsidR="00082B67">
              <w:rPr>
                <w:rFonts w:cs="Arial"/>
              </w:rPr>
              <w:t xml:space="preserve">of </w:t>
            </w:r>
            <w:r w:rsidR="002D239B">
              <w:rPr>
                <w:rFonts w:cs="Arial"/>
              </w:rPr>
              <w:t xml:space="preserve">all </w:t>
            </w:r>
            <w:r w:rsidR="00082B67">
              <w:rPr>
                <w:rFonts w:cs="Arial"/>
              </w:rPr>
              <w:t>women were found to be above a healthy weight in early pregnancy</w:t>
            </w:r>
            <w:r w:rsidR="0007158B">
              <w:rPr>
                <w:rStyle w:val="FootnoteReference"/>
                <w:rFonts w:cs="Arial"/>
              </w:rPr>
              <w:footnoteReference w:id="3"/>
            </w:r>
            <w:r w:rsidR="002E5BB4">
              <w:rPr>
                <w:rFonts w:cs="Arial"/>
              </w:rPr>
              <w:t>.  In 2018, 56.4% of women from the most deprived areas were overweight or obese at the antenatal booking appointment, compared to 43.9% of women in the least deprived areas.</w:t>
            </w:r>
          </w:p>
          <w:p w14:paraId="74B270D3" w14:textId="77777777" w:rsidR="00082B67" w:rsidRDefault="00B6302F" w:rsidP="00660ADA">
            <w:pPr>
              <w:numPr>
                <w:ilvl w:val="0"/>
                <w:numId w:val="21"/>
              </w:numPr>
              <w:jc w:val="both"/>
              <w:rPr>
                <w:rFonts w:cs="Arial"/>
              </w:rPr>
            </w:pPr>
            <w:r>
              <w:rPr>
                <w:rFonts w:cs="Arial"/>
              </w:rPr>
              <w:t xml:space="preserve">Infants born to mothers with </w:t>
            </w:r>
            <w:r w:rsidR="00923133">
              <w:rPr>
                <w:rFonts w:cs="Arial"/>
              </w:rPr>
              <w:t>gestational</w:t>
            </w:r>
            <w:r>
              <w:rPr>
                <w:rFonts w:cs="Arial"/>
              </w:rPr>
              <w:t xml:space="preserve"> diabetes have 20% higher body fat than those without</w:t>
            </w:r>
            <w:r w:rsidR="00B71659">
              <w:rPr>
                <w:rFonts w:cs="Arial"/>
              </w:rPr>
              <w:t>,</w:t>
            </w:r>
            <w:r>
              <w:rPr>
                <w:rFonts w:cs="Arial"/>
              </w:rPr>
              <w:t xml:space="preserve"> and are more likely </w:t>
            </w:r>
            <w:r w:rsidR="00B71659">
              <w:rPr>
                <w:rFonts w:cs="Arial"/>
              </w:rPr>
              <w:t xml:space="preserve">to be obese later in childhood.  Women who have had gestational diabetes are at high risk of type 2 diabetes within </w:t>
            </w:r>
            <w:r w:rsidR="003C69A9">
              <w:rPr>
                <w:rFonts w:cs="Arial"/>
              </w:rPr>
              <w:t xml:space="preserve">the </w:t>
            </w:r>
            <w:r w:rsidR="00B71659">
              <w:rPr>
                <w:rFonts w:cs="Arial"/>
              </w:rPr>
              <w:t xml:space="preserve">five years </w:t>
            </w:r>
            <w:r w:rsidR="003C69A9">
              <w:rPr>
                <w:rFonts w:cs="Arial"/>
              </w:rPr>
              <w:t>following t</w:t>
            </w:r>
            <w:r w:rsidR="00B71659">
              <w:rPr>
                <w:rFonts w:cs="Arial"/>
              </w:rPr>
              <w:t xml:space="preserve">heir </w:t>
            </w:r>
            <w:r w:rsidR="00B71659">
              <w:rPr>
                <w:rFonts w:cs="Arial"/>
              </w:rPr>
              <w:lastRenderedPageBreak/>
              <w:t>pregnancy.  Between 1981-2012, there</w:t>
            </w:r>
            <w:r w:rsidR="003C69A9">
              <w:rPr>
                <w:rFonts w:cs="Arial"/>
              </w:rPr>
              <w:t xml:space="preserve"> was </w:t>
            </w:r>
            <w:r w:rsidR="00B71659">
              <w:rPr>
                <w:rFonts w:cs="Arial"/>
              </w:rPr>
              <w:t>a ninefold increase in prevalence of gestational diabetes</w:t>
            </w:r>
            <w:r w:rsidR="0007158B">
              <w:rPr>
                <w:rStyle w:val="FootnoteReference"/>
                <w:rFonts w:cs="Arial"/>
              </w:rPr>
              <w:footnoteReference w:id="4"/>
            </w:r>
            <w:r w:rsidR="00806571">
              <w:rPr>
                <w:rFonts w:cs="Arial"/>
              </w:rPr>
              <w:t>.</w:t>
            </w:r>
          </w:p>
          <w:p w14:paraId="74B270D4" w14:textId="77777777" w:rsidR="00A2424F" w:rsidRDefault="00A2424F" w:rsidP="00660ADA">
            <w:pPr>
              <w:jc w:val="both"/>
              <w:rPr>
                <w:rFonts w:cs="Arial"/>
              </w:rPr>
            </w:pPr>
          </w:p>
          <w:p w14:paraId="74B270D5" w14:textId="77777777" w:rsidR="004372DB" w:rsidRPr="00A2424F" w:rsidRDefault="004372DB" w:rsidP="00660ADA">
            <w:pPr>
              <w:jc w:val="both"/>
              <w:rPr>
                <w:rFonts w:cs="Arial"/>
                <w:b/>
              </w:rPr>
            </w:pPr>
            <w:r w:rsidRPr="00A2424F">
              <w:rPr>
                <w:rFonts w:cs="Arial"/>
                <w:b/>
              </w:rPr>
              <w:t>Infant feeding</w:t>
            </w:r>
          </w:p>
          <w:p w14:paraId="74B270D6" w14:textId="77777777" w:rsidR="00082B67" w:rsidRDefault="00B6302F" w:rsidP="00660ADA">
            <w:pPr>
              <w:numPr>
                <w:ilvl w:val="0"/>
                <w:numId w:val="21"/>
              </w:numPr>
              <w:jc w:val="both"/>
              <w:rPr>
                <w:szCs w:val="24"/>
              </w:rPr>
            </w:pPr>
            <w:r>
              <w:rPr>
                <w:rFonts w:cs="Arial"/>
              </w:rPr>
              <w:t xml:space="preserve">Breastfeeding rates </w:t>
            </w:r>
            <w:r>
              <w:rPr>
                <w:szCs w:val="24"/>
              </w:rPr>
              <w:t xml:space="preserve">in Scotland are low and vary by geographical area within Scotland. Breastfeeding confers a wide range of benefits to the short and long term health of mothers and babies, including a lower risk of obesity later in childhood.  </w:t>
            </w:r>
            <w:r w:rsidR="00630438">
              <w:rPr>
                <w:szCs w:val="24"/>
              </w:rPr>
              <w:t>NHS Ayrshire &amp; Arran has the lowest breastfeeding rates in Scotland</w:t>
            </w:r>
            <w:r w:rsidR="00E8639F">
              <w:rPr>
                <w:szCs w:val="24"/>
              </w:rPr>
              <w:t xml:space="preserve">, with the highest rates in NHS Orkney.  The </w:t>
            </w:r>
            <w:r w:rsidR="00AC73C9">
              <w:rPr>
                <w:szCs w:val="24"/>
              </w:rPr>
              <w:t>most recent data showed</w:t>
            </w:r>
            <w:r w:rsidR="00630438">
              <w:rPr>
                <w:szCs w:val="24"/>
              </w:rPr>
              <w:t xml:space="preserve"> that only </w:t>
            </w:r>
            <w:r w:rsidR="00082B67">
              <w:rPr>
                <w:szCs w:val="24"/>
              </w:rPr>
              <w:t>18.1% of babies in NHS Ayrshire &amp; Arran were exclusively breastfed at 6-8 weeks compared to 30.7% of babies in Scotland</w:t>
            </w:r>
            <w:r w:rsidR="00E8639F">
              <w:rPr>
                <w:szCs w:val="24"/>
              </w:rPr>
              <w:t xml:space="preserve"> and 52.6% in Orkney</w:t>
            </w:r>
            <w:r w:rsidR="003436E8">
              <w:rPr>
                <w:szCs w:val="24"/>
              </w:rPr>
              <w:t>.  Women living in the least deprived areas were three times more likely to breastfeed their babies at 6-8 weeks than those living in the most deprived areas</w:t>
            </w:r>
            <w:r w:rsidR="003436E8">
              <w:rPr>
                <w:rStyle w:val="FootnoteReference"/>
                <w:szCs w:val="24"/>
              </w:rPr>
              <w:t xml:space="preserve"> </w:t>
            </w:r>
            <w:r w:rsidR="0007158B">
              <w:rPr>
                <w:rStyle w:val="FootnoteReference"/>
                <w:szCs w:val="24"/>
              </w:rPr>
              <w:footnoteReference w:id="5"/>
            </w:r>
            <w:r w:rsidR="003436E8">
              <w:rPr>
                <w:szCs w:val="24"/>
              </w:rPr>
              <w:t>.</w:t>
            </w:r>
          </w:p>
          <w:p w14:paraId="74B270D7" w14:textId="77777777" w:rsidR="00A2424F" w:rsidRDefault="00A2424F" w:rsidP="00660ADA">
            <w:pPr>
              <w:jc w:val="both"/>
              <w:rPr>
                <w:szCs w:val="24"/>
              </w:rPr>
            </w:pPr>
          </w:p>
          <w:p w14:paraId="74B270D8" w14:textId="77777777" w:rsidR="004372DB" w:rsidRPr="00A2424F" w:rsidRDefault="00A31CCF" w:rsidP="00660ADA">
            <w:pPr>
              <w:jc w:val="both"/>
              <w:rPr>
                <w:b/>
                <w:szCs w:val="24"/>
              </w:rPr>
            </w:pPr>
            <w:r>
              <w:rPr>
                <w:b/>
                <w:szCs w:val="24"/>
              </w:rPr>
              <w:t>High Body Mass Index</w:t>
            </w:r>
          </w:p>
          <w:p w14:paraId="74B270D9" w14:textId="77777777" w:rsidR="00166B4D" w:rsidRDefault="00B6302F" w:rsidP="00660ADA">
            <w:pPr>
              <w:pStyle w:val="ListParagraph"/>
              <w:numPr>
                <w:ilvl w:val="0"/>
                <w:numId w:val="21"/>
              </w:numPr>
              <w:jc w:val="both"/>
              <w:rPr>
                <w:rFonts w:cs="Arial"/>
              </w:rPr>
            </w:pPr>
            <w:r w:rsidRPr="00C25128">
              <w:rPr>
                <w:rFonts w:cs="Arial"/>
              </w:rPr>
              <w:t xml:space="preserve">Being above a healthy weight places individuals at risk of a range of health conditions including type 2 diabetes, hypertension, cardiovascular disease, cancer, osteoarthritis and poorer mental wellbeing.  </w:t>
            </w:r>
            <w:r w:rsidR="00082B67" w:rsidRPr="00C25128">
              <w:rPr>
                <w:rFonts w:cs="Arial"/>
              </w:rPr>
              <w:t>Two thirds (65%) of adults in Scotland were overweight or obese</w:t>
            </w:r>
            <w:r w:rsidR="0007158B">
              <w:rPr>
                <w:rStyle w:val="FootnoteReference"/>
                <w:rFonts w:cs="Arial"/>
              </w:rPr>
              <w:footnoteReference w:id="6"/>
            </w:r>
            <w:r w:rsidR="00AC73C9">
              <w:rPr>
                <w:rFonts w:cs="Arial"/>
              </w:rPr>
              <w:t>. For both men and women, prevalence obesity was higher among those from the most deprived areas compared to those from the least deprived areas.</w:t>
            </w:r>
            <w:r w:rsidR="00FD6572">
              <w:rPr>
                <w:rFonts w:cs="Arial"/>
              </w:rPr>
              <w:t xml:space="preserve">  Older data from the 2008, 2009 and 2010 Scottish Health Surveys showed that 33% of women in the most deprived areas were obese compared to 19% of those in the least deprived areas.  Although there was the same pattern in men, the increase was less steep</w:t>
            </w:r>
            <w:r w:rsidR="00FD6572">
              <w:rPr>
                <w:rStyle w:val="FootnoteReference"/>
                <w:rFonts w:cs="Arial"/>
              </w:rPr>
              <w:footnoteReference w:id="7"/>
            </w:r>
            <w:r w:rsidR="00FD6572">
              <w:rPr>
                <w:rFonts w:cs="Arial"/>
              </w:rPr>
              <w:t>.</w:t>
            </w:r>
            <w:r w:rsidR="00AC73C9">
              <w:rPr>
                <w:rFonts w:cs="Arial"/>
              </w:rPr>
              <w:t xml:space="preserve">  </w:t>
            </w:r>
          </w:p>
          <w:p w14:paraId="74B270DA" w14:textId="77777777" w:rsidR="00166B4D" w:rsidRDefault="00166B4D" w:rsidP="00660ADA">
            <w:pPr>
              <w:pStyle w:val="ListParagraph"/>
              <w:numPr>
                <w:ilvl w:val="0"/>
                <w:numId w:val="21"/>
              </w:numPr>
              <w:jc w:val="both"/>
              <w:rPr>
                <w:rFonts w:cs="Arial"/>
              </w:rPr>
            </w:pPr>
            <w:r>
              <w:rPr>
                <w:rFonts w:cs="Arial"/>
              </w:rPr>
              <w:t xml:space="preserve">In the school year 2017/18, </w:t>
            </w:r>
            <w:r w:rsidR="00082B67" w:rsidRPr="00C25128">
              <w:rPr>
                <w:rFonts w:cs="Arial"/>
              </w:rPr>
              <w:t>22.</w:t>
            </w:r>
            <w:r w:rsidR="0015061A">
              <w:rPr>
                <w:rFonts w:cs="Arial"/>
              </w:rPr>
              <w:t>4</w:t>
            </w:r>
            <w:r w:rsidR="00082B67" w:rsidRPr="00C25128">
              <w:rPr>
                <w:rFonts w:cs="Arial"/>
              </w:rPr>
              <w:t>% of Primary 1 children were at risk of overweight or obesity</w:t>
            </w:r>
            <w:r w:rsidR="0007158B">
              <w:rPr>
                <w:rStyle w:val="FootnoteReference"/>
                <w:rFonts w:cs="Arial"/>
              </w:rPr>
              <w:footnoteReference w:id="8"/>
            </w:r>
            <w:r w:rsidR="00A31CCF" w:rsidRPr="00C25128">
              <w:rPr>
                <w:rFonts w:cs="Arial"/>
              </w:rPr>
              <w:t xml:space="preserve">. </w:t>
            </w:r>
            <w:r>
              <w:rPr>
                <w:rFonts w:cs="Arial"/>
              </w:rPr>
              <w:t xml:space="preserve"> In 2001/02 there was no difference in the proportion of children at risk was of overweight or obesity.  Since then the proportion of children at risk has increased in the most deprived areas </w:t>
            </w:r>
            <w:r w:rsidR="00FD6572">
              <w:rPr>
                <w:rFonts w:cs="Arial"/>
              </w:rPr>
              <w:t>but decreased in the least depri</w:t>
            </w:r>
            <w:r>
              <w:rPr>
                <w:rFonts w:cs="Arial"/>
              </w:rPr>
              <w:t xml:space="preserve">ved areas.  In the most recent school year, </w:t>
            </w:r>
            <w:r w:rsidR="0015061A">
              <w:rPr>
                <w:rFonts w:cs="Arial"/>
              </w:rPr>
              <w:t>26.2% of children in the most deprived areas were at risk of overweight or obesity compared to 17.1% of those in the least deprived areas.</w:t>
            </w:r>
            <w:r>
              <w:rPr>
                <w:rFonts w:cs="Arial"/>
              </w:rPr>
              <w:t xml:space="preserve">  </w:t>
            </w:r>
            <w:r w:rsidR="00A31CCF" w:rsidRPr="00C25128">
              <w:rPr>
                <w:rFonts w:cs="Arial"/>
              </w:rPr>
              <w:t xml:space="preserve"> </w:t>
            </w:r>
          </w:p>
          <w:p w14:paraId="74B270DB" w14:textId="77777777" w:rsidR="00166B4D" w:rsidRDefault="00166B4D" w:rsidP="00660ADA">
            <w:pPr>
              <w:jc w:val="both"/>
              <w:rPr>
                <w:b/>
              </w:rPr>
            </w:pPr>
          </w:p>
          <w:p w14:paraId="74B270DC" w14:textId="77777777" w:rsidR="004372DB" w:rsidRPr="007D05A9" w:rsidRDefault="004372DB" w:rsidP="00660ADA">
            <w:pPr>
              <w:jc w:val="both"/>
              <w:rPr>
                <w:b/>
              </w:rPr>
            </w:pPr>
            <w:r w:rsidRPr="007D05A9">
              <w:rPr>
                <w:b/>
              </w:rPr>
              <w:t>Diet</w:t>
            </w:r>
          </w:p>
          <w:p w14:paraId="74B270DD" w14:textId="77777777" w:rsidR="00082B67" w:rsidRPr="00F70265" w:rsidRDefault="00671E98" w:rsidP="00660ADA">
            <w:pPr>
              <w:numPr>
                <w:ilvl w:val="0"/>
                <w:numId w:val="21"/>
              </w:numPr>
              <w:jc w:val="both"/>
            </w:pPr>
            <w:r>
              <w:t>Low f</w:t>
            </w:r>
            <w:r w:rsidR="004372DB" w:rsidRPr="005C3D6F">
              <w:t xml:space="preserve">ruit and vegetable consumption is associated with cancer, cardiovascular disease and type 2 diabetes and is commonly used as a proxy indicator of overall diet quality.  </w:t>
            </w:r>
            <w:r w:rsidR="00082B67" w:rsidRPr="005C3D6F">
              <w:t xml:space="preserve">68% adults ate less than the recommended </w:t>
            </w:r>
            <w:r w:rsidR="003C69A9" w:rsidRPr="005C3D6F">
              <w:t>five</w:t>
            </w:r>
            <w:r w:rsidR="00082B67" w:rsidRPr="005C3D6F">
              <w:t xml:space="preserve"> portions of fruit and vegetables per day and 11</w:t>
            </w:r>
            <w:r w:rsidR="00082B67">
              <w:rPr>
                <w:rFonts w:cs="Arial"/>
              </w:rPr>
              <w:t>%</w:t>
            </w:r>
            <w:r w:rsidR="00082B67" w:rsidRPr="007D05A9">
              <w:t xml:space="preserve"> said they ate no fruit or vegetables at all each day</w:t>
            </w:r>
            <w:r w:rsidR="00F12E1C" w:rsidRPr="007D05A9">
              <w:rPr>
                <w:rStyle w:val="FootnoteReference"/>
              </w:rPr>
              <w:footnoteReference w:id="9"/>
            </w:r>
            <w:r w:rsidR="00F70265">
              <w:t>.</w:t>
            </w:r>
          </w:p>
          <w:p w14:paraId="74B270DE" w14:textId="77777777" w:rsidR="00A2424F" w:rsidRDefault="00A2424F" w:rsidP="00660ADA">
            <w:pPr>
              <w:jc w:val="both"/>
              <w:rPr>
                <w:rFonts w:cs="Arial"/>
              </w:rPr>
            </w:pPr>
          </w:p>
          <w:p w14:paraId="74B270DF" w14:textId="77777777" w:rsidR="004372DB" w:rsidRPr="00A2424F" w:rsidRDefault="004372DB" w:rsidP="00660ADA">
            <w:pPr>
              <w:jc w:val="both"/>
              <w:rPr>
                <w:rFonts w:cs="Arial"/>
                <w:b/>
              </w:rPr>
            </w:pPr>
            <w:r w:rsidRPr="00A2424F">
              <w:rPr>
                <w:rFonts w:cs="Arial"/>
                <w:b/>
              </w:rPr>
              <w:t>Physical activity</w:t>
            </w:r>
          </w:p>
          <w:p w14:paraId="74B270E0" w14:textId="77777777" w:rsidR="00EE210B" w:rsidRDefault="00EA794D" w:rsidP="00660ADA">
            <w:pPr>
              <w:numPr>
                <w:ilvl w:val="0"/>
                <w:numId w:val="21"/>
              </w:numPr>
              <w:jc w:val="both"/>
              <w:rPr>
                <w:rFonts w:cs="Arial"/>
              </w:rPr>
            </w:pPr>
            <w:r>
              <w:rPr>
                <w:rFonts w:cs="Arial"/>
              </w:rPr>
              <w:t>Substantial evidence demonstrates an association between p</w:t>
            </w:r>
            <w:r w:rsidR="00F12E1C">
              <w:rPr>
                <w:rFonts w:cs="Arial"/>
              </w:rPr>
              <w:t>hysical activity</w:t>
            </w:r>
            <w:r>
              <w:rPr>
                <w:rFonts w:cs="Arial"/>
              </w:rPr>
              <w:t xml:space="preserve"> and the prevention and management of over twenty chronic conditions</w:t>
            </w:r>
            <w:r w:rsidR="00F12E1C">
              <w:rPr>
                <w:rFonts w:cs="Arial"/>
              </w:rPr>
              <w:t xml:space="preserve">. </w:t>
            </w:r>
            <w:r w:rsidR="00EE210B" w:rsidRPr="00671E98">
              <w:rPr>
                <w:rFonts w:cs="Arial"/>
              </w:rPr>
              <w:t xml:space="preserve">Physical inactivity is the </w:t>
            </w:r>
            <w:r w:rsidR="00EE210B" w:rsidRPr="00671E98">
              <w:rPr>
                <w:rFonts w:cs="Arial"/>
              </w:rPr>
              <w:lastRenderedPageBreak/>
              <w:t>fourth leading risk for global mortality accounting for 6% of deaths</w:t>
            </w:r>
            <w:r w:rsidR="00EE210B">
              <w:rPr>
                <w:rStyle w:val="FootnoteReference"/>
                <w:rFonts w:cs="Arial"/>
              </w:rPr>
              <w:footnoteReference w:id="10"/>
            </w:r>
            <w:r w:rsidR="00EE210B" w:rsidRPr="00671E98">
              <w:rPr>
                <w:rFonts w:cs="Arial"/>
              </w:rPr>
              <w:t>.</w:t>
            </w:r>
            <w:r w:rsidR="00EE210B">
              <w:rPr>
                <w:rFonts w:cs="Arial"/>
              </w:rPr>
              <w:t xml:space="preserve">  </w:t>
            </w:r>
            <w:r w:rsidR="004372DB">
              <w:rPr>
                <w:rFonts w:cs="Arial"/>
              </w:rPr>
              <w:t>65% of adults met current physical activity guidelines</w:t>
            </w:r>
            <w:r w:rsidR="00A713E4">
              <w:rPr>
                <w:rFonts w:cs="Arial"/>
              </w:rPr>
              <w:t>; however, only 56% of those living in the most deprived areas met the guidelines compared to 72% of those living in the least deprived areas. Around one fifth (</w:t>
            </w:r>
            <w:r w:rsidR="004372DB">
              <w:rPr>
                <w:rFonts w:cs="Arial"/>
              </w:rPr>
              <w:t>21%</w:t>
            </w:r>
            <w:r w:rsidR="00A713E4">
              <w:rPr>
                <w:rFonts w:cs="Arial"/>
              </w:rPr>
              <w:t>)</w:t>
            </w:r>
            <w:r w:rsidR="004372DB">
              <w:rPr>
                <w:rFonts w:cs="Arial"/>
              </w:rPr>
              <w:t xml:space="preserve"> of adults reported they did less than 30 minutes of moderate activity per day</w:t>
            </w:r>
            <w:r w:rsidR="00A713E4">
              <w:rPr>
                <w:rFonts w:cs="Arial"/>
              </w:rPr>
              <w:t>; 29% of those living in the most deprived areas did less than 30 minutes of moderate activity per day compared to</w:t>
            </w:r>
            <w:r w:rsidR="00EE210B">
              <w:rPr>
                <w:rFonts w:cs="Arial"/>
              </w:rPr>
              <w:t xml:space="preserve"> </w:t>
            </w:r>
            <w:r w:rsidR="00A713E4">
              <w:rPr>
                <w:rFonts w:cs="Arial"/>
              </w:rPr>
              <w:t>14% of those in the least deprived areas.</w:t>
            </w:r>
            <w:r w:rsidR="00EE210B">
              <w:rPr>
                <w:rFonts w:cs="Arial"/>
              </w:rPr>
              <w:t xml:space="preserve">  </w:t>
            </w:r>
            <w:r w:rsidR="004372DB">
              <w:rPr>
                <w:rFonts w:cs="Arial"/>
              </w:rPr>
              <w:t xml:space="preserve">  </w:t>
            </w:r>
          </w:p>
          <w:p w14:paraId="74B270E1" w14:textId="77777777" w:rsidR="004372DB" w:rsidRDefault="004372DB" w:rsidP="00660ADA">
            <w:pPr>
              <w:numPr>
                <w:ilvl w:val="0"/>
                <w:numId w:val="21"/>
              </w:numPr>
              <w:jc w:val="both"/>
              <w:rPr>
                <w:rFonts w:cs="Arial"/>
              </w:rPr>
            </w:pPr>
            <w:r>
              <w:rPr>
                <w:rFonts w:cs="Arial"/>
              </w:rPr>
              <w:t xml:space="preserve">The proportion of children meeting </w:t>
            </w:r>
            <w:r w:rsidR="00A713E4">
              <w:rPr>
                <w:rFonts w:cs="Arial"/>
              </w:rPr>
              <w:t>physical activity</w:t>
            </w:r>
            <w:r>
              <w:rPr>
                <w:rFonts w:cs="Arial"/>
              </w:rPr>
              <w:t xml:space="preserve"> guidelines declined with age from 45% in those aged 5-7 years to 18% in those aged 13-15 years</w:t>
            </w:r>
            <w:r w:rsidR="00A713E4">
              <w:rPr>
                <w:rFonts w:cs="Arial"/>
              </w:rPr>
              <w:t>.  Children living in the most deprived areas were less likely to meet the guidelines</w:t>
            </w:r>
            <w:r w:rsidR="00166B4D">
              <w:rPr>
                <w:rFonts w:cs="Arial"/>
              </w:rPr>
              <w:t>, including activity at school,</w:t>
            </w:r>
            <w:r w:rsidR="00A713E4">
              <w:rPr>
                <w:rFonts w:cs="Arial"/>
              </w:rPr>
              <w:t xml:space="preserve"> than those in the least deprived areas (</w:t>
            </w:r>
            <w:r w:rsidR="00166B4D">
              <w:rPr>
                <w:rFonts w:cs="Arial"/>
              </w:rPr>
              <w:t>27% compared to 37%, respectively)</w:t>
            </w:r>
            <w:r w:rsidR="00F12E1C">
              <w:rPr>
                <w:rStyle w:val="FootnoteReference"/>
                <w:rFonts w:cs="Arial"/>
              </w:rPr>
              <w:footnoteReference w:id="11"/>
            </w:r>
            <w:r w:rsidR="00EE210B">
              <w:rPr>
                <w:rFonts w:cs="Arial"/>
              </w:rPr>
              <w:t>.</w:t>
            </w:r>
          </w:p>
          <w:p w14:paraId="74B270E2" w14:textId="77777777" w:rsidR="007E2621" w:rsidRPr="00B1692F" w:rsidRDefault="007E2621" w:rsidP="00660ADA">
            <w:pPr>
              <w:jc w:val="both"/>
              <w:rPr>
                <w:rFonts w:cs="Arial"/>
              </w:rPr>
            </w:pPr>
          </w:p>
          <w:p w14:paraId="74B270E3" w14:textId="77777777" w:rsidR="004372DB" w:rsidRPr="00A2424F" w:rsidRDefault="004372DB" w:rsidP="00660ADA">
            <w:pPr>
              <w:jc w:val="both"/>
              <w:rPr>
                <w:rFonts w:cs="Arial"/>
                <w:b/>
              </w:rPr>
            </w:pPr>
            <w:r w:rsidRPr="00A2424F">
              <w:rPr>
                <w:rFonts w:cs="Arial"/>
                <w:b/>
              </w:rPr>
              <w:t xml:space="preserve">Children’s </w:t>
            </w:r>
            <w:r w:rsidR="00A2424F" w:rsidRPr="00A2424F">
              <w:rPr>
                <w:rFonts w:cs="Arial"/>
                <w:b/>
              </w:rPr>
              <w:t>d</w:t>
            </w:r>
            <w:r w:rsidRPr="00A2424F">
              <w:rPr>
                <w:rFonts w:cs="Arial"/>
                <w:b/>
              </w:rPr>
              <w:t>ental health</w:t>
            </w:r>
          </w:p>
          <w:p w14:paraId="74B270E4" w14:textId="77777777" w:rsidR="00082B67" w:rsidRDefault="008948A7" w:rsidP="00660ADA">
            <w:pPr>
              <w:numPr>
                <w:ilvl w:val="0"/>
                <w:numId w:val="21"/>
              </w:numPr>
              <w:jc w:val="both"/>
              <w:rPr>
                <w:rFonts w:cs="Arial"/>
              </w:rPr>
            </w:pPr>
            <w:r>
              <w:rPr>
                <w:rFonts w:cs="Arial"/>
              </w:rPr>
              <w:t xml:space="preserve">The food and drinks we consume </w:t>
            </w:r>
            <w:r w:rsidR="003B44B5">
              <w:rPr>
                <w:rFonts w:cs="Arial"/>
              </w:rPr>
              <w:t>impacts on oral health</w:t>
            </w:r>
            <w:r>
              <w:rPr>
                <w:rFonts w:cs="Arial"/>
              </w:rPr>
              <w:t xml:space="preserve">; high consumption of sugar leads to dental decay </w:t>
            </w:r>
            <w:r w:rsidR="00E8639F">
              <w:rPr>
                <w:rFonts w:cs="Arial"/>
              </w:rPr>
              <w:t xml:space="preserve">and contributes to </w:t>
            </w:r>
            <w:r w:rsidR="005B1022">
              <w:rPr>
                <w:rFonts w:cs="Arial"/>
              </w:rPr>
              <w:t xml:space="preserve">overweight and </w:t>
            </w:r>
            <w:r w:rsidR="00E8639F">
              <w:rPr>
                <w:rFonts w:cs="Arial"/>
              </w:rPr>
              <w:t>o</w:t>
            </w:r>
            <w:r w:rsidR="005B1022">
              <w:rPr>
                <w:rFonts w:cs="Arial"/>
              </w:rPr>
              <w:t xml:space="preserve">besity.  In addition, </w:t>
            </w:r>
            <w:r>
              <w:rPr>
                <w:rFonts w:cs="Arial"/>
              </w:rPr>
              <w:t>regular consumption of acidic food and drinks contributes to dental erosion</w:t>
            </w:r>
            <w:r w:rsidR="003B44B5">
              <w:rPr>
                <w:rFonts w:cs="Arial"/>
              </w:rPr>
              <w:t xml:space="preserve">.  </w:t>
            </w:r>
            <w:r>
              <w:rPr>
                <w:rFonts w:cs="Arial"/>
              </w:rPr>
              <w:t>In 2017/18, 71% of Primary 1 children had no obvious decay which is a significant improvement compared to only 45% in 2003</w:t>
            </w:r>
            <w:r w:rsidR="00F12E1C">
              <w:rPr>
                <w:rStyle w:val="FootnoteReference"/>
                <w:rFonts w:cs="Arial"/>
              </w:rPr>
              <w:footnoteReference w:id="12"/>
            </w:r>
            <w:r w:rsidR="00082B67">
              <w:rPr>
                <w:rFonts w:cs="Arial"/>
              </w:rPr>
              <w:t>.</w:t>
            </w:r>
          </w:p>
          <w:p w14:paraId="74B270E5" w14:textId="77777777" w:rsidR="00827913" w:rsidRPr="00827913" w:rsidRDefault="00827913" w:rsidP="00660ADA">
            <w:pPr>
              <w:jc w:val="both"/>
            </w:pPr>
          </w:p>
        </w:tc>
      </w:tr>
      <w:tr w:rsidR="00664C4A" w:rsidRPr="0011716C" w14:paraId="74B270E9" w14:textId="77777777" w:rsidTr="00660ADA">
        <w:tc>
          <w:tcPr>
            <w:tcW w:w="0" w:type="auto"/>
          </w:tcPr>
          <w:p w14:paraId="74B270E7" w14:textId="77777777" w:rsidR="00664C4A" w:rsidRPr="0011716C" w:rsidRDefault="00664C4A" w:rsidP="00660ADA">
            <w:pPr>
              <w:jc w:val="both"/>
              <w:rPr>
                <w:b/>
              </w:rPr>
            </w:pPr>
            <w:r>
              <w:rPr>
                <w:b/>
              </w:rPr>
              <w:lastRenderedPageBreak/>
              <w:t>3.</w:t>
            </w:r>
          </w:p>
        </w:tc>
        <w:tc>
          <w:tcPr>
            <w:tcW w:w="0" w:type="auto"/>
          </w:tcPr>
          <w:p w14:paraId="74B270E8" w14:textId="77777777" w:rsidR="00664C4A" w:rsidRPr="0011716C" w:rsidRDefault="00664C4A" w:rsidP="00660ADA">
            <w:pPr>
              <w:jc w:val="both"/>
              <w:rPr>
                <w:b/>
              </w:rPr>
            </w:pPr>
            <w:r>
              <w:rPr>
                <w:b/>
              </w:rPr>
              <w:t>Assessment</w:t>
            </w:r>
          </w:p>
        </w:tc>
      </w:tr>
      <w:tr w:rsidR="00664C4A" w:rsidRPr="0011716C" w14:paraId="74B270EC" w14:textId="77777777" w:rsidTr="00660ADA">
        <w:tc>
          <w:tcPr>
            <w:tcW w:w="0" w:type="auto"/>
          </w:tcPr>
          <w:p w14:paraId="74B270EA" w14:textId="77777777" w:rsidR="00664C4A" w:rsidRPr="0011716C" w:rsidRDefault="00664C4A" w:rsidP="00660ADA">
            <w:pPr>
              <w:jc w:val="both"/>
              <w:rPr>
                <w:b/>
              </w:rPr>
            </w:pPr>
          </w:p>
        </w:tc>
        <w:tc>
          <w:tcPr>
            <w:tcW w:w="0" w:type="auto"/>
          </w:tcPr>
          <w:p w14:paraId="74B270EB" w14:textId="77777777" w:rsidR="00664C4A" w:rsidRPr="0011716C" w:rsidRDefault="00664C4A" w:rsidP="00660ADA">
            <w:pPr>
              <w:jc w:val="both"/>
              <w:rPr>
                <w:b/>
              </w:rPr>
            </w:pPr>
          </w:p>
        </w:tc>
      </w:tr>
      <w:tr w:rsidR="00827913" w:rsidRPr="00D803E7" w14:paraId="74B2711D" w14:textId="77777777" w:rsidTr="00660ADA">
        <w:tc>
          <w:tcPr>
            <w:tcW w:w="0" w:type="auto"/>
            <w:shd w:val="clear" w:color="auto" w:fill="auto"/>
          </w:tcPr>
          <w:p w14:paraId="74B270ED" w14:textId="77777777" w:rsidR="00827913" w:rsidRDefault="00827913" w:rsidP="00660ADA">
            <w:pPr>
              <w:jc w:val="both"/>
            </w:pPr>
            <w:r w:rsidRPr="00827913">
              <w:t>3.1</w:t>
            </w:r>
          </w:p>
          <w:p w14:paraId="74B270EE" w14:textId="77777777" w:rsidR="003D6D2D" w:rsidRDefault="003D6D2D" w:rsidP="00660ADA">
            <w:pPr>
              <w:jc w:val="both"/>
            </w:pPr>
          </w:p>
          <w:p w14:paraId="74B270EF" w14:textId="77777777" w:rsidR="003D6D2D" w:rsidRDefault="003D6D2D" w:rsidP="00660ADA">
            <w:pPr>
              <w:jc w:val="both"/>
            </w:pPr>
          </w:p>
          <w:p w14:paraId="74B270F0" w14:textId="77777777" w:rsidR="003D6D2D" w:rsidRDefault="003D6D2D" w:rsidP="00660ADA">
            <w:pPr>
              <w:jc w:val="both"/>
            </w:pPr>
          </w:p>
          <w:p w14:paraId="74B270F1" w14:textId="77777777" w:rsidR="003D6D2D" w:rsidRDefault="003D6D2D" w:rsidP="00660ADA">
            <w:pPr>
              <w:jc w:val="both"/>
            </w:pPr>
          </w:p>
          <w:p w14:paraId="74B270F2" w14:textId="77777777" w:rsidR="003D6D2D" w:rsidRDefault="003D6D2D" w:rsidP="00660ADA">
            <w:pPr>
              <w:jc w:val="both"/>
            </w:pPr>
          </w:p>
          <w:p w14:paraId="74B270F3" w14:textId="77777777" w:rsidR="003D6D2D" w:rsidRDefault="003D6D2D" w:rsidP="00660ADA">
            <w:pPr>
              <w:jc w:val="both"/>
            </w:pPr>
          </w:p>
          <w:p w14:paraId="74B270F4" w14:textId="77777777" w:rsidR="003D6D2D" w:rsidRDefault="003D6D2D" w:rsidP="00660ADA">
            <w:pPr>
              <w:jc w:val="both"/>
            </w:pPr>
          </w:p>
          <w:p w14:paraId="74B270F5" w14:textId="77777777" w:rsidR="003D6D2D" w:rsidRDefault="003D6D2D" w:rsidP="00660ADA">
            <w:pPr>
              <w:jc w:val="both"/>
            </w:pPr>
          </w:p>
          <w:p w14:paraId="74B270F6" w14:textId="77777777" w:rsidR="00182C74" w:rsidRDefault="00182C74" w:rsidP="00660ADA">
            <w:pPr>
              <w:jc w:val="both"/>
            </w:pPr>
          </w:p>
          <w:p w14:paraId="74B270F7" w14:textId="77777777" w:rsidR="00182C74" w:rsidRDefault="00182C74" w:rsidP="00660ADA">
            <w:pPr>
              <w:jc w:val="both"/>
            </w:pPr>
          </w:p>
          <w:p w14:paraId="74B270F8" w14:textId="77777777" w:rsidR="00182C74" w:rsidRDefault="00182C74" w:rsidP="00660ADA">
            <w:pPr>
              <w:jc w:val="both"/>
            </w:pPr>
          </w:p>
          <w:p w14:paraId="74B270F9" w14:textId="77777777" w:rsidR="005B1022" w:rsidRDefault="005B1022" w:rsidP="00660ADA">
            <w:pPr>
              <w:jc w:val="both"/>
            </w:pPr>
          </w:p>
          <w:p w14:paraId="74B270FA" w14:textId="77777777" w:rsidR="005B1022" w:rsidRDefault="005B1022" w:rsidP="00660ADA">
            <w:pPr>
              <w:jc w:val="both"/>
            </w:pPr>
          </w:p>
          <w:p w14:paraId="74B270FB" w14:textId="77777777" w:rsidR="003D6D2D" w:rsidRDefault="003D6D2D" w:rsidP="00660ADA">
            <w:pPr>
              <w:jc w:val="both"/>
            </w:pPr>
            <w:r>
              <w:t>3.2</w:t>
            </w:r>
          </w:p>
          <w:p w14:paraId="74B270FC" w14:textId="77777777" w:rsidR="003D6D2D" w:rsidRDefault="003D6D2D" w:rsidP="00660ADA">
            <w:pPr>
              <w:jc w:val="both"/>
            </w:pPr>
          </w:p>
          <w:p w14:paraId="74B270FD" w14:textId="77777777" w:rsidR="003D6D2D" w:rsidRDefault="003D6D2D" w:rsidP="00660ADA">
            <w:pPr>
              <w:jc w:val="both"/>
            </w:pPr>
          </w:p>
          <w:p w14:paraId="74B270FE" w14:textId="77777777" w:rsidR="003D6D2D" w:rsidRDefault="003D6D2D" w:rsidP="00660ADA">
            <w:pPr>
              <w:jc w:val="both"/>
            </w:pPr>
          </w:p>
          <w:p w14:paraId="74B270FF" w14:textId="77777777" w:rsidR="003D6D2D" w:rsidRDefault="003D6D2D" w:rsidP="00660ADA">
            <w:pPr>
              <w:jc w:val="both"/>
            </w:pPr>
          </w:p>
          <w:p w14:paraId="74B27100" w14:textId="77777777" w:rsidR="003D6D2D" w:rsidRDefault="003D6D2D" w:rsidP="00660ADA">
            <w:pPr>
              <w:jc w:val="both"/>
            </w:pPr>
          </w:p>
          <w:p w14:paraId="74B27101" w14:textId="77777777" w:rsidR="003D6D2D" w:rsidRDefault="003D6D2D" w:rsidP="00660ADA">
            <w:pPr>
              <w:jc w:val="both"/>
            </w:pPr>
          </w:p>
          <w:p w14:paraId="74B27102" w14:textId="77777777" w:rsidR="003D6D2D" w:rsidRDefault="003D6D2D" w:rsidP="00660ADA">
            <w:pPr>
              <w:jc w:val="both"/>
            </w:pPr>
          </w:p>
          <w:p w14:paraId="74B27103" w14:textId="77777777" w:rsidR="003D6D2D" w:rsidRDefault="003D6D2D" w:rsidP="00660ADA">
            <w:pPr>
              <w:jc w:val="both"/>
            </w:pPr>
          </w:p>
          <w:p w14:paraId="74B27104" w14:textId="77777777" w:rsidR="003D6D2D" w:rsidRDefault="003D6D2D" w:rsidP="00660ADA">
            <w:pPr>
              <w:jc w:val="both"/>
            </w:pPr>
          </w:p>
          <w:p w14:paraId="74B27105" w14:textId="77777777" w:rsidR="003D6D2D" w:rsidRDefault="003D6D2D" w:rsidP="00660ADA">
            <w:pPr>
              <w:jc w:val="both"/>
            </w:pPr>
          </w:p>
          <w:p w14:paraId="74B27106" w14:textId="77777777" w:rsidR="003D6D2D" w:rsidRDefault="003D6D2D" w:rsidP="00660ADA">
            <w:pPr>
              <w:jc w:val="both"/>
            </w:pPr>
          </w:p>
          <w:p w14:paraId="74B27107" w14:textId="77777777" w:rsidR="003D6D2D" w:rsidRDefault="003D6D2D" w:rsidP="00660ADA">
            <w:pPr>
              <w:jc w:val="both"/>
            </w:pPr>
          </w:p>
          <w:p w14:paraId="74B27108" w14:textId="77777777" w:rsidR="003762E3" w:rsidRPr="00827913" w:rsidRDefault="003762E3" w:rsidP="00660ADA">
            <w:pPr>
              <w:jc w:val="both"/>
            </w:pPr>
            <w:r>
              <w:t>3.3</w:t>
            </w:r>
          </w:p>
        </w:tc>
        <w:tc>
          <w:tcPr>
            <w:tcW w:w="0" w:type="auto"/>
          </w:tcPr>
          <w:p w14:paraId="74B27109" w14:textId="77777777" w:rsidR="003762E3" w:rsidRDefault="00E13FFF" w:rsidP="00660ADA">
            <w:pPr>
              <w:jc w:val="both"/>
              <w:rPr>
                <w:rFonts w:cs="Arial"/>
              </w:rPr>
            </w:pPr>
            <w:r>
              <w:rPr>
                <w:rFonts w:cs="Arial"/>
              </w:rPr>
              <w:lastRenderedPageBreak/>
              <w:t xml:space="preserve">A fundamental principle that should underpin this priority is </w:t>
            </w:r>
            <w:r w:rsidR="008948A7">
              <w:rPr>
                <w:rFonts w:cs="Arial"/>
              </w:rPr>
              <w:t xml:space="preserve">a need to </w:t>
            </w:r>
            <w:r w:rsidR="004B73C1">
              <w:rPr>
                <w:rFonts w:cs="Arial"/>
              </w:rPr>
              <w:t>shift from f</w:t>
            </w:r>
            <w:r>
              <w:rPr>
                <w:rFonts w:cs="Arial"/>
              </w:rPr>
              <w:t>ocus</w:t>
            </w:r>
            <w:r w:rsidR="004B73C1">
              <w:rPr>
                <w:rFonts w:cs="Arial"/>
              </w:rPr>
              <w:t>ing</w:t>
            </w:r>
            <w:r>
              <w:rPr>
                <w:rFonts w:cs="Arial"/>
              </w:rPr>
              <w:t xml:space="preserve"> on </w:t>
            </w:r>
            <w:r w:rsidR="004B73C1">
              <w:rPr>
                <w:rFonts w:cs="Arial"/>
              </w:rPr>
              <w:t xml:space="preserve">lifestyle behaviours to addressing </w:t>
            </w:r>
            <w:r>
              <w:rPr>
                <w:rFonts w:cs="Arial"/>
              </w:rPr>
              <w:t>the social determinants of health.</w:t>
            </w:r>
            <w:r w:rsidR="00C25128">
              <w:rPr>
                <w:rFonts w:cs="Arial"/>
              </w:rPr>
              <w:t xml:space="preserve"> </w:t>
            </w:r>
            <w:r w:rsidR="00A31CCF">
              <w:rPr>
                <w:rFonts w:cs="Arial"/>
              </w:rPr>
              <w:t>It is well established that inequality, deprivation, disc</w:t>
            </w:r>
            <w:r w:rsidR="005744D8">
              <w:rPr>
                <w:rFonts w:cs="Arial"/>
              </w:rPr>
              <w:t xml:space="preserve">rimination and trauma impact on </w:t>
            </w:r>
            <w:r w:rsidR="00A31CCF">
              <w:rPr>
                <w:rFonts w:cs="Arial"/>
              </w:rPr>
              <w:t>biology, physiology and psychology</w:t>
            </w:r>
            <w:r w:rsidR="00A31CCF">
              <w:rPr>
                <w:rStyle w:val="FootnoteReference"/>
                <w:rFonts w:cs="Arial"/>
              </w:rPr>
              <w:footnoteReference w:id="13"/>
            </w:r>
            <w:r w:rsidR="00A31CCF">
              <w:rPr>
                <w:rFonts w:cs="Arial"/>
              </w:rPr>
              <w:t xml:space="preserve">.  </w:t>
            </w:r>
            <w:r w:rsidR="00182C74">
              <w:rPr>
                <w:rFonts w:cs="Arial"/>
              </w:rPr>
              <w:t>Equally Well (2008)</w:t>
            </w:r>
            <w:r w:rsidR="00182C74">
              <w:rPr>
                <w:rStyle w:val="FootnoteReference"/>
                <w:rFonts w:cs="Arial"/>
              </w:rPr>
              <w:footnoteReference w:id="14"/>
            </w:r>
            <w:r w:rsidR="00182C74">
              <w:rPr>
                <w:rFonts w:cs="Arial"/>
              </w:rPr>
              <w:t xml:space="preserve"> outlined how deprivation, discrimination and other forms of long term chronic stress lead to disease including obesity and type 2 diabetes</w:t>
            </w:r>
            <w:r w:rsidR="002E3F4E">
              <w:rPr>
                <w:rFonts w:cs="Arial"/>
              </w:rPr>
              <w:t>,</w:t>
            </w:r>
            <w:r w:rsidR="00182C74">
              <w:rPr>
                <w:rFonts w:cs="Arial"/>
              </w:rPr>
              <w:t xml:space="preserve"> so w</w:t>
            </w:r>
            <w:r w:rsidR="004B73C1">
              <w:rPr>
                <w:rFonts w:cs="Arial"/>
              </w:rPr>
              <w:t xml:space="preserve">hilst enabling and empowering individuals to change their behaviour is important, it is insufficient to effect change at a population level.  </w:t>
            </w:r>
            <w:r w:rsidR="00620ED4">
              <w:rPr>
                <w:rFonts w:cs="Arial"/>
              </w:rPr>
              <w:t>Highlighting the importance of access to affordable healthy food, acknowledging the social aspects of food, and on the need to build skills and knowledge of population groups can all contribute to the shift from a focus on lifestyle and behaviour towards addressing the social determina</w:t>
            </w:r>
            <w:r w:rsidR="00EB0537">
              <w:rPr>
                <w:rFonts w:cs="Arial"/>
              </w:rPr>
              <w:t>n</w:t>
            </w:r>
            <w:r w:rsidR="00620ED4">
              <w:rPr>
                <w:rFonts w:cs="Arial"/>
              </w:rPr>
              <w:t xml:space="preserve">ts of health.  </w:t>
            </w:r>
            <w:r w:rsidR="00061305">
              <w:rPr>
                <w:rFonts w:cs="Arial"/>
              </w:rPr>
              <w:t>Our society needs to addr</w:t>
            </w:r>
            <w:r w:rsidR="0058620C">
              <w:rPr>
                <w:rFonts w:cs="Arial"/>
              </w:rPr>
              <w:t>ess our obesogenic</w:t>
            </w:r>
            <w:r w:rsidR="00061305">
              <w:rPr>
                <w:rFonts w:cs="Arial"/>
              </w:rPr>
              <w:t xml:space="preserve"> environment which discourages physical activity, encourages</w:t>
            </w:r>
            <w:r w:rsidR="0058620C">
              <w:rPr>
                <w:rFonts w:cs="Arial"/>
              </w:rPr>
              <w:t xml:space="preserve"> sedentary behaviour, and makes the unhealthy choice of consuming large amounts of energy dense food the easy choice.</w:t>
            </w:r>
          </w:p>
          <w:p w14:paraId="74B2710A" w14:textId="77777777" w:rsidR="003762E3" w:rsidRDefault="003762E3" w:rsidP="00660ADA">
            <w:pPr>
              <w:jc w:val="both"/>
              <w:rPr>
                <w:rFonts w:cs="Arial"/>
              </w:rPr>
            </w:pPr>
          </w:p>
          <w:p w14:paraId="74B2710B" w14:textId="77777777" w:rsidR="003764E9" w:rsidRDefault="004B73C1" w:rsidP="00660ADA">
            <w:pPr>
              <w:jc w:val="both"/>
              <w:rPr>
                <w:rFonts w:cs="Arial"/>
              </w:rPr>
            </w:pPr>
            <w:r>
              <w:rPr>
                <w:rFonts w:cs="Arial"/>
              </w:rPr>
              <w:t xml:space="preserve">The challenge of obesity should not be viewed as an NHS issue; it requires collaboration across all sectors of society and investment for sustainable changes.  Given the complexity of the issue, </w:t>
            </w:r>
            <w:r w:rsidR="005E1BD4">
              <w:rPr>
                <w:rFonts w:cs="Arial"/>
              </w:rPr>
              <w:t>solutions require systemic, far reaching changes in infrastructure, environments, cultural and social norms over decades.</w:t>
            </w:r>
            <w:r w:rsidR="00660ADA">
              <w:rPr>
                <w:rFonts w:cs="Arial"/>
              </w:rPr>
              <w:t xml:space="preserve"> </w:t>
            </w:r>
          </w:p>
          <w:p w14:paraId="74B2710C" w14:textId="77777777" w:rsidR="00E13FFF" w:rsidRDefault="00331303" w:rsidP="00660ADA">
            <w:pPr>
              <w:jc w:val="both"/>
              <w:rPr>
                <w:rFonts w:cs="Arial"/>
              </w:rPr>
            </w:pPr>
            <w:r>
              <w:rPr>
                <w:rFonts w:cs="Arial"/>
              </w:rPr>
              <w:lastRenderedPageBreak/>
              <w:t>Over recent years, i</w:t>
            </w:r>
            <w:r w:rsidR="00CF6986">
              <w:rPr>
                <w:rFonts w:cs="Arial"/>
              </w:rPr>
              <w:t xml:space="preserve">nternational and national agencies, professional bodies and third sector organisations have been consistent in the actions they have called governments to take to </w:t>
            </w:r>
            <w:r w:rsidR="00927337">
              <w:rPr>
                <w:rFonts w:cs="Arial"/>
              </w:rPr>
              <w:t>prevent</w:t>
            </w:r>
            <w:r w:rsidR="00CF6986">
              <w:rPr>
                <w:rFonts w:cs="Arial"/>
              </w:rPr>
              <w:t xml:space="preserve"> obesity</w:t>
            </w:r>
            <w:r w:rsidR="00CF6986">
              <w:rPr>
                <w:rStyle w:val="FootnoteReference"/>
                <w:rFonts w:cs="Arial"/>
              </w:rPr>
              <w:footnoteReference w:id="15"/>
            </w:r>
            <w:r w:rsidR="00EB0537" w:rsidRPr="00EB0537">
              <w:rPr>
                <w:rFonts w:cs="Arial"/>
                <w:vertAlign w:val="superscript"/>
              </w:rPr>
              <w:t>,</w:t>
            </w:r>
            <w:r w:rsidR="00927337">
              <w:rPr>
                <w:rStyle w:val="FootnoteReference"/>
                <w:rFonts w:cs="Arial"/>
              </w:rPr>
              <w:footnoteReference w:id="16"/>
            </w:r>
            <w:r w:rsidR="00EB0537">
              <w:rPr>
                <w:rFonts w:cs="Arial"/>
                <w:vertAlign w:val="superscript"/>
              </w:rPr>
              <w:t>,</w:t>
            </w:r>
            <w:r w:rsidR="009F5A06">
              <w:rPr>
                <w:rStyle w:val="FootnoteReference"/>
                <w:rFonts w:cs="Arial"/>
              </w:rPr>
              <w:footnoteReference w:id="17"/>
            </w:r>
            <w:r w:rsidR="00EB0537">
              <w:rPr>
                <w:rFonts w:cs="Arial"/>
                <w:vertAlign w:val="superscript"/>
              </w:rPr>
              <w:t>,</w:t>
            </w:r>
            <w:r w:rsidR="009F5A06">
              <w:rPr>
                <w:rStyle w:val="FootnoteReference"/>
                <w:rFonts w:cs="Arial"/>
              </w:rPr>
              <w:footnoteReference w:id="18"/>
            </w:r>
            <w:r w:rsidR="00CF6986">
              <w:rPr>
                <w:rFonts w:cs="Arial"/>
              </w:rPr>
              <w:t>.  These include</w:t>
            </w:r>
            <w:r w:rsidR="009F5A06">
              <w:rPr>
                <w:rFonts w:cs="Arial"/>
              </w:rPr>
              <w:t>:</w:t>
            </w:r>
          </w:p>
          <w:p w14:paraId="74B2710D" w14:textId="77777777" w:rsidR="00CF6986" w:rsidRDefault="005744D8" w:rsidP="00660ADA">
            <w:pPr>
              <w:numPr>
                <w:ilvl w:val="0"/>
                <w:numId w:val="23"/>
              </w:numPr>
              <w:jc w:val="both"/>
              <w:rPr>
                <w:rFonts w:cs="Arial"/>
              </w:rPr>
            </w:pPr>
            <w:r>
              <w:rPr>
                <w:rFonts w:cs="Arial"/>
              </w:rPr>
              <w:t>a</w:t>
            </w:r>
            <w:r w:rsidR="00CF6986">
              <w:rPr>
                <w:rFonts w:cs="Arial"/>
              </w:rPr>
              <w:t xml:space="preserve"> whole systems approach</w:t>
            </w:r>
            <w:r w:rsidR="00630438">
              <w:rPr>
                <w:rFonts w:cs="Arial"/>
              </w:rPr>
              <w:t>,</w:t>
            </w:r>
            <w:r w:rsidR="00AD608A">
              <w:rPr>
                <w:rFonts w:cs="Arial"/>
              </w:rPr>
              <w:t xml:space="preserve"> including planning and creation of healthy environments</w:t>
            </w:r>
            <w:r w:rsidR="00630438">
              <w:rPr>
                <w:rFonts w:cs="Arial"/>
              </w:rPr>
              <w:t>;</w:t>
            </w:r>
          </w:p>
          <w:p w14:paraId="74B2710E" w14:textId="77777777" w:rsidR="00CF6986" w:rsidRDefault="005744D8" w:rsidP="00660ADA">
            <w:pPr>
              <w:numPr>
                <w:ilvl w:val="0"/>
                <w:numId w:val="23"/>
              </w:numPr>
              <w:jc w:val="both"/>
              <w:rPr>
                <w:rFonts w:cs="Arial"/>
              </w:rPr>
            </w:pPr>
            <w:r>
              <w:rPr>
                <w:rFonts w:cs="Arial"/>
              </w:rPr>
              <w:t>f</w:t>
            </w:r>
            <w:r w:rsidR="00CF6986">
              <w:rPr>
                <w:rFonts w:cs="Arial"/>
              </w:rPr>
              <w:t>iscal measures</w:t>
            </w:r>
            <w:r w:rsidR="00630438">
              <w:rPr>
                <w:rFonts w:cs="Arial"/>
              </w:rPr>
              <w:t>,</w:t>
            </w:r>
            <w:r w:rsidR="00AD608A">
              <w:rPr>
                <w:rFonts w:cs="Arial"/>
              </w:rPr>
              <w:t xml:space="preserve"> including taxation</w:t>
            </w:r>
            <w:r w:rsidR="00630438">
              <w:rPr>
                <w:rFonts w:cs="Arial"/>
              </w:rPr>
              <w:t>;</w:t>
            </w:r>
          </w:p>
          <w:p w14:paraId="74B2710F" w14:textId="77777777" w:rsidR="00CF6986" w:rsidRDefault="005744D8" w:rsidP="00660ADA">
            <w:pPr>
              <w:numPr>
                <w:ilvl w:val="0"/>
                <w:numId w:val="23"/>
              </w:numPr>
              <w:jc w:val="both"/>
              <w:rPr>
                <w:rFonts w:cs="Arial"/>
              </w:rPr>
            </w:pPr>
            <w:r>
              <w:rPr>
                <w:rFonts w:cs="Arial"/>
              </w:rPr>
              <w:t>r</w:t>
            </w:r>
            <w:r w:rsidR="00CF6986">
              <w:rPr>
                <w:rFonts w:cs="Arial"/>
              </w:rPr>
              <w:t>egulation</w:t>
            </w:r>
            <w:r w:rsidR="002E3F4E">
              <w:rPr>
                <w:rFonts w:cs="Arial"/>
              </w:rPr>
              <w:t>,</w:t>
            </w:r>
            <w:r w:rsidR="00AD608A">
              <w:rPr>
                <w:rFonts w:cs="Arial"/>
              </w:rPr>
              <w:t xml:space="preserve"> particularly of portion sizes</w:t>
            </w:r>
            <w:r w:rsidR="002E3F4E">
              <w:rPr>
                <w:rFonts w:cs="Arial"/>
              </w:rPr>
              <w:t xml:space="preserve"> and the</w:t>
            </w:r>
            <w:r w:rsidR="00AD608A">
              <w:rPr>
                <w:rFonts w:cs="Arial"/>
              </w:rPr>
              <w:t xml:space="preserve"> availability of energy dense food and drinks</w:t>
            </w:r>
            <w:r w:rsidR="002E3F4E">
              <w:rPr>
                <w:rFonts w:cs="Arial"/>
              </w:rPr>
              <w:t>;</w:t>
            </w:r>
          </w:p>
          <w:p w14:paraId="74B27110" w14:textId="77777777" w:rsidR="00CF6986" w:rsidRDefault="005744D8" w:rsidP="00660ADA">
            <w:pPr>
              <w:numPr>
                <w:ilvl w:val="0"/>
                <w:numId w:val="23"/>
              </w:numPr>
              <w:jc w:val="both"/>
              <w:rPr>
                <w:rFonts w:cs="Arial"/>
              </w:rPr>
            </w:pPr>
            <w:r>
              <w:rPr>
                <w:rFonts w:cs="Arial"/>
              </w:rPr>
              <w:t>p</w:t>
            </w:r>
            <w:r w:rsidR="00CF6986">
              <w:rPr>
                <w:rFonts w:cs="Arial"/>
              </w:rPr>
              <w:t>hy</w:t>
            </w:r>
            <w:r w:rsidR="00AD608A">
              <w:rPr>
                <w:rFonts w:cs="Arial"/>
              </w:rPr>
              <w:t>sical activity</w:t>
            </w:r>
            <w:r w:rsidR="00652E96">
              <w:rPr>
                <w:rStyle w:val="FootnoteReference"/>
                <w:rFonts w:cs="Arial"/>
              </w:rPr>
              <w:footnoteReference w:id="19"/>
            </w:r>
            <w:r w:rsidR="00AD608A">
              <w:rPr>
                <w:rFonts w:cs="Arial"/>
              </w:rPr>
              <w:t xml:space="preserve"> and active travel</w:t>
            </w:r>
            <w:r w:rsidR="002E3F4E">
              <w:rPr>
                <w:rFonts w:cs="Arial"/>
              </w:rPr>
              <w:t>;</w:t>
            </w:r>
            <w:r>
              <w:rPr>
                <w:rFonts w:cs="Arial"/>
              </w:rPr>
              <w:t xml:space="preserve"> and</w:t>
            </w:r>
          </w:p>
          <w:p w14:paraId="74B27111" w14:textId="77777777" w:rsidR="00CF6986" w:rsidRDefault="005744D8" w:rsidP="00660ADA">
            <w:pPr>
              <w:numPr>
                <w:ilvl w:val="0"/>
                <w:numId w:val="23"/>
              </w:numPr>
              <w:jc w:val="both"/>
              <w:rPr>
                <w:rFonts w:cs="Arial"/>
              </w:rPr>
            </w:pPr>
            <w:r>
              <w:rPr>
                <w:rFonts w:cs="Arial"/>
              </w:rPr>
              <w:t>p</w:t>
            </w:r>
            <w:r w:rsidR="00CF6986">
              <w:rPr>
                <w:rFonts w:cs="Arial"/>
              </w:rPr>
              <w:t>rioritising early years</w:t>
            </w:r>
            <w:r w:rsidR="00AD608A">
              <w:rPr>
                <w:rFonts w:cs="Arial"/>
              </w:rPr>
              <w:t>, including provision of support, resources and information for families.</w:t>
            </w:r>
          </w:p>
          <w:p w14:paraId="74B27112" w14:textId="77777777" w:rsidR="00CF6986" w:rsidRDefault="00CF6986" w:rsidP="00660ADA">
            <w:pPr>
              <w:jc w:val="both"/>
              <w:rPr>
                <w:rFonts w:cs="Arial"/>
              </w:rPr>
            </w:pPr>
          </w:p>
          <w:p w14:paraId="74B27113" w14:textId="77777777" w:rsidR="00C224E9" w:rsidRDefault="005E1BD4" w:rsidP="00660ADA">
            <w:pPr>
              <w:jc w:val="both"/>
              <w:rPr>
                <w:rFonts w:cs="Arial"/>
              </w:rPr>
            </w:pPr>
            <w:r>
              <w:rPr>
                <w:rFonts w:cs="Arial"/>
              </w:rPr>
              <w:t>The Diet and Healthy Weight Delivery Plan sets out the Scottish Government’s commitment to a</w:t>
            </w:r>
            <w:r w:rsidR="00331303">
              <w:rPr>
                <w:rFonts w:cs="Arial"/>
              </w:rPr>
              <w:t>n ambitious programme of action and a pledge to halve childhood obesity by 2030 – this is to be commended</w:t>
            </w:r>
            <w:r w:rsidR="00182C74">
              <w:rPr>
                <w:rFonts w:cs="Arial"/>
              </w:rPr>
              <w:t xml:space="preserve">, however, caution is required given the projected </w:t>
            </w:r>
            <w:r w:rsidR="004F0D79">
              <w:rPr>
                <w:rFonts w:cs="Arial"/>
              </w:rPr>
              <w:t>rise</w:t>
            </w:r>
            <w:r w:rsidR="00182C74">
              <w:rPr>
                <w:rFonts w:cs="Arial"/>
              </w:rPr>
              <w:t xml:space="preserve"> in child poverty</w:t>
            </w:r>
            <w:r w:rsidR="00331303">
              <w:rPr>
                <w:rFonts w:cs="Arial"/>
              </w:rPr>
              <w:t xml:space="preserve">.  </w:t>
            </w:r>
            <w:r w:rsidR="004758CE">
              <w:rPr>
                <w:rFonts w:cs="Arial"/>
              </w:rPr>
              <w:t>It is particularly welcome that Scottish Government will take action at national level on issues where local authorities and their local partners have limited influence or no control.  We</w:t>
            </w:r>
            <w:r w:rsidR="00331303">
              <w:rPr>
                <w:rFonts w:cs="Arial"/>
              </w:rPr>
              <w:t xml:space="preserve"> welcome th</w:t>
            </w:r>
            <w:r w:rsidR="004758CE">
              <w:rPr>
                <w:rFonts w:cs="Arial"/>
              </w:rPr>
              <w:t xml:space="preserve">e commitment </w:t>
            </w:r>
            <w:r w:rsidR="004650A8">
              <w:rPr>
                <w:rFonts w:cs="Arial"/>
              </w:rPr>
              <w:t>to transform the food environment by introducing restrictions on the promotion and marketing of foods high in fat</w:t>
            </w:r>
            <w:r w:rsidR="004758CE">
              <w:rPr>
                <w:rFonts w:cs="Arial"/>
              </w:rPr>
              <w:t xml:space="preserve">, sugar or salt, including their </w:t>
            </w:r>
            <w:r w:rsidR="00923133">
              <w:rPr>
                <w:rFonts w:cs="Arial"/>
              </w:rPr>
              <w:t>advertising</w:t>
            </w:r>
            <w:r w:rsidR="004758CE">
              <w:rPr>
                <w:rFonts w:cs="Arial"/>
              </w:rPr>
              <w:t xml:space="preserve"> especially to children. </w:t>
            </w:r>
          </w:p>
          <w:p w14:paraId="74B27114" w14:textId="77777777" w:rsidR="00C224E9" w:rsidRDefault="00C224E9" w:rsidP="00660ADA">
            <w:pPr>
              <w:jc w:val="both"/>
              <w:rPr>
                <w:rFonts w:cs="Arial"/>
              </w:rPr>
            </w:pPr>
          </w:p>
          <w:p w14:paraId="74B27115" w14:textId="77777777" w:rsidR="00DE6560" w:rsidRDefault="004650A8" w:rsidP="00660ADA">
            <w:pPr>
              <w:jc w:val="both"/>
              <w:rPr>
                <w:rFonts w:cs="Arial"/>
              </w:rPr>
            </w:pPr>
            <w:r>
              <w:rPr>
                <w:rFonts w:cs="Arial"/>
              </w:rPr>
              <w:t xml:space="preserve">We look forward to </w:t>
            </w:r>
            <w:r w:rsidR="004758CE">
              <w:rPr>
                <w:rFonts w:cs="Arial"/>
              </w:rPr>
              <w:t xml:space="preserve">the forthcoming </w:t>
            </w:r>
            <w:r>
              <w:rPr>
                <w:rFonts w:cs="Arial"/>
              </w:rPr>
              <w:t xml:space="preserve">publication of Food Standard Scotland’s Out of Home </w:t>
            </w:r>
            <w:r w:rsidR="00EB0537">
              <w:rPr>
                <w:rFonts w:cs="Arial"/>
              </w:rPr>
              <w:t>S</w:t>
            </w:r>
            <w:r>
              <w:rPr>
                <w:rFonts w:cs="Arial"/>
              </w:rPr>
              <w:t xml:space="preserve">trategy.  We </w:t>
            </w:r>
            <w:r w:rsidR="00182C74">
              <w:rPr>
                <w:rFonts w:cs="Arial"/>
              </w:rPr>
              <w:t xml:space="preserve">understand </w:t>
            </w:r>
            <w:r w:rsidR="00BA5F03">
              <w:rPr>
                <w:rFonts w:cs="Arial"/>
              </w:rPr>
              <w:t xml:space="preserve">a </w:t>
            </w:r>
            <w:r>
              <w:rPr>
                <w:rFonts w:cs="Arial"/>
              </w:rPr>
              <w:t>requir</w:t>
            </w:r>
            <w:r w:rsidR="00BA5F03">
              <w:rPr>
                <w:rFonts w:cs="Arial"/>
              </w:rPr>
              <w:t xml:space="preserve">ement for caterers </w:t>
            </w:r>
            <w:r>
              <w:rPr>
                <w:rFonts w:cs="Arial"/>
              </w:rPr>
              <w:t xml:space="preserve">and food </w:t>
            </w:r>
            <w:r w:rsidR="00BA5F03">
              <w:rPr>
                <w:rFonts w:cs="Arial"/>
              </w:rPr>
              <w:t>businesses t</w:t>
            </w:r>
            <w:r>
              <w:rPr>
                <w:rFonts w:cs="Arial"/>
              </w:rPr>
              <w:t xml:space="preserve">o </w:t>
            </w:r>
            <w:r w:rsidR="00BA5F03">
              <w:rPr>
                <w:rFonts w:cs="Arial"/>
              </w:rPr>
              <w:t>provide information on the calorie content of foods sold has the potential to lead to product reformulation and influence customer choice.</w:t>
            </w:r>
            <w:r w:rsidR="00182C74">
              <w:rPr>
                <w:rFonts w:cs="Arial"/>
              </w:rPr>
              <w:t xml:space="preserve">  However, we caution against any intervention that relies on personal agency as this can increase health inequalities</w:t>
            </w:r>
            <w:r w:rsidR="007D4D6A">
              <w:rPr>
                <w:rStyle w:val="FootnoteReference"/>
                <w:rFonts w:cs="Arial"/>
              </w:rPr>
              <w:footnoteReference w:id="20"/>
            </w:r>
            <w:r w:rsidR="00182C74">
              <w:rPr>
                <w:rFonts w:cs="Arial"/>
              </w:rPr>
              <w:t xml:space="preserve">.  We suggest to be </w:t>
            </w:r>
            <w:r w:rsidR="00BA5F03">
              <w:rPr>
                <w:rFonts w:cs="Arial"/>
              </w:rPr>
              <w:t xml:space="preserve">effective, such </w:t>
            </w:r>
            <w:r w:rsidR="00286649">
              <w:rPr>
                <w:rFonts w:cs="Arial"/>
              </w:rPr>
              <w:t>requirements must</w:t>
            </w:r>
            <w:r w:rsidR="00194B2C">
              <w:rPr>
                <w:rFonts w:cs="Arial"/>
              </w:rPr>
              <w:t xml:space="preserve"> also</w:t>
            </w:r>
            <w:r w:rsidR="00BA5F03">
              <w:rPr>
                <w:rFonts w:cs="Arial"/>
              </w:rPr>
              <w:t xml:space="preserve"> be mandatory.</w:t>
            </w:r>
          </w:p>
          <w:p w14:paraId="74B27116" w14:textId="77777777" w:rsidR="00C224E9" w:rsidRDefault="00C224E9" w:rsidP="00660ADA">
            <w:pPr>
              <w:jc w:val="both"/>
              <w:rPr>
                <w:rFonts w:cs="Arial"/>
              </w:rPr>
            </w:pPr>
          </w:p>
          <w:p w14:paraId="74B27117" w14:textId="77777777" w:rsidR="00E60719" w:rsidRDefault="00C224E9" w:rsidP="00660ADA">
            <w:pPr>
              <w:jc w:val="both"/>
              <w:rPr>
                <w:rFonts w:cs="Arial"/>
              </w:rPr>
            </w:pPr>
            <w:r>
              <w:rPr>
                <w:rFonts w:cs="Arial"/>
              </w:rPr>
              <w:t>A constant source of frustration</w:t>
            </w:r>
            <w:r w:rsidR="004758CE">
              <w:rPr>
                <w:rFonts w:cs="Arial"/>
              </w:rPr>
              <w:t xml:space="preserve"> for education and public health professionals is the limited power that local authorities have to influence the food environment around schools</w:t>
            </w:r>
            <w:r w:rsidR="00D470BB">
              <w:rPr>
                <w:rFonts w:cs="Arial"/>
              </w:rPr>
              <w:t xml:space="preserve">.  </w:t>
            </w:r>
            <w:r w:rsidR="009B1912">
              <w:rPr>
                <w:rFonts w:cs="Arial"/>
              </w:rPr>
              <w:t xml:space="preserve">Despite improvements to the nutritional content of school food as a result of </w:t>
            </w:r>
            <w:r w:rsidR="002D3813">
              <w:rPr>
                <w:rFonts w:cs="Arial"/>
              </w:rPr>
              <w:t xml:space="preserve">the introduction </w:t>
            </w:r>
            <w:r w:rsidR="00194B2C">
              <w:rPr>
                <w:rFonts w:cs="Arial"/>
              </w:rPr>
              <w:t xml:space="preserve">of </w:t>
            </w:r>
            <w:r w:rsidR="00923133">
              <w:rPr>
                <w:rFonts w:cs="Arial"/>
              </w:rPr>
              <w:t>mandatory</w:t>
            </w:r>
            <w:r w:rsidR="009B1912">
              <w:rPr>
                <w:rFonts w:cs="Arial"/>
              </w:rPr>
              <w:t xml:space="preserve"> standards for school lunches and food sold throughout the whole day, many pupils choose to leave school</w:t>
            </w:r>
            <w:r w:rsidR="00764B8B">
              <w:rPr>
                <w:rFonts w:cs="Arial"/>
              </w:rPr>
              <w:t xml:space="preserve"> at </w:t>
            </w:r>
            <w:r w:rsidR="00286649">
              <w:rPr>
                <w:rFonts w:cs="Arial"/>
              </w:rPr>
              <w:t>lunchtime</w:t>
            </w:r>
            <w:r w:rsidR="00923133">
              <w:rPr>
                <w:rFonts w:cs="Arial"/>
              </w:rPr>
              <w:t xml:space="preserve">.  </w:t>
            </w:r>
            <w:r w:rsidR="00D470BB">
              <w:rPr>
                <w:rFonts w:cs="Arial"/>
              </w:rPr>
              <w:t>Mobile vans, takeaways and small independent food outlets selling energy dense food and drinks with limited healthier options, as well as the promotion of meal deals containing foods of low nutritional value aimed at schoolchildren on their way to school</w:t>
            </w:r>
            <w:r w:rsidR="00E60719">
              <w:rPr>
                <w:rFonts w:cs="Arial"/>
              </w:rPr>
              <w:t>, at mid-morning break and at lunch</w:t>
            </w:r>
            <w:r w:rsidR="00D470BB">
              <w:rPr>
                <w:rFonts w:cs="Arial"/>
              </w:rPr>
              <w:t xml:space="preserve">time is commonplace across the country. </w:t>
            </w:r>
            <w:r w:rsidR="00E60719">
              <w:rPr>
                <w:rFonts w:cs="Arial"/>
              </w:rPr>
              <w:t>We fully support the proposal to review and strengthen Scottish Planning Policy and urge Scottish Government to hold its position in response to likely opposition from some food businesses.</w:t>
            </w:r>
            <w:r w:rsidR="00194B2C">
              <w:rPr>
                <w:rFonts w:cs="Arial"/>
              </w:rPr>
              <w:t xml:space="preserve"> We </w:t>
            </w:r>
            <w:r w:rsidR="0015061A">
              <w:rPr>
                <w:rFonts w:cs="Arial"/>
              </w:rPr>
              <w:t xml:space="preserve">recommend </w:t>
            </w:r>
            <w:r w:rsidR="00194B2C">
              <w:rPr>
                <w:rFonts w:cs="Arial"/>
              </w:rPr>
              <w:t xml:space="preserve">consideration </w:t>
            </w:r>
            <w:r w:rsidR="0015061A">
              <w:rPr>
                <w:rFonts w:cs="Arial"/>
              </w:rPr>
              <w:t>by Scottish Government is</w:t>
            </w:r>
            <w:r w:rsidR="00194B2C">
              <w:rPr>
                <w:rFonts w:cs="Arial"/>
              </w:rPr>
              <w:t xml:space="preserve"> given to placing restrictions on primary and secondary aged children leaving the school environment during the school day</w:t>
            </w:r>
            <w:r w:rsidR="0015061A">
              <w:rPr>
                <w:rFonts w:cs="Arial"/>
              </w:rPr>
              <w:t>.</w:t>
            </w:r>
          </w:p>
          <w:p w14:paraId="74B27118" w14:textId="77777777" w:rsidR="0015061A" w:rsidRDefault="0015061A" w:rsidP="00660ADA">
            <w:pPr>
              <w:jc w:val="both"/>
              <w:rPr>
                <w:rFonts w:cs="Arial"/>
              </w:rPr>
            </w:pPr>
          </w:p>
          <w:p w14:paraId="74B27119" w14:textId="77777777" w:rsidR="004676FA" w:rsidRDefault="008331D1" w:rsidP="00660ADA">
            <w:pPr>
              <w:jc w:val="both"/>
              <w:rPr>
                <w:rFonts w:cs="Arial"/>
              </w:rPr>
            </w:pPr>
            <w:r>
              <w:rPr>
                <w:rFonts w:cs="Arial"/>
              </w:rPr>
              <w:lastRenderedPageBreak/>
              <w:t xml:space="preserve">We endorse introduction of the soft drinks industry levy (the sugar tax) by the UK Government, however, we believe fiscal measures should be used to make further nutritional improvements at population level, such as reductions in portion sizes of energy dense </w:t>
            </w:r>
            <w:r w:rsidR="004676FA">
              <w:rPr>
                <w:rFonts w:cs="Arial"/>
              </w:rPr>
              <w:t>food and drinks and reformulation to reduce the fat, sugar and salt content of manufactured products.</w:t>
            </w:r>
            <w:r w:rsidR="00194B2C">
              <w:rPr>
                <w:rFonts w:cs="Arial"/>
              </w:rPr>
              <w:t xml:space="preserve"> We </w:t>
            </w:r>
            <w:r w:rsidR="0015061A">
              <w:rPr>
                <w:rFonts w:cs="Arial"/>
              </w:rPr>
              <w:t xml:space="preserve">recommend consideration by Scottish Government is </w:t>
            </w:r>
            <w:r w:rsidR="00194B2C">
              <w:rPr>
                <w:rFonts w:cs="Arial"/>
              </w:rPr>
              <w:t>given to cross-subsidisation of fruit and vegetables using resources generated by the sugar tax</w:t>
            </w:r>
            <w:r w:rsidR="005B1022">
              <w:rPr>
                <w:rFonts w:cs="Arial"/>
              </w:rPr>
              <w:t>.</w:t>
            </w:r>
          </w:p>
          <w:p w14:paraId="74B2711A" w14:textId="77777777" w:rsidR="004676FA" w:rsidRDefault="004676FA" w:rsidP="00660ADA">
            <w:pPr>
              <w:jc w:val="both"/>
              <w:rPr>
                <w:rFonts w:cs="Arial"/>
              </w:rPr>
            </w:pPr>
          </w:p>
          <w:p w14:paraId="74B2711B" w14:textId="77777777" w:rsidR="008331D1" w:rsidRDefault="004676FA" w:rsidP="00660ADA">
            <w:pPr>
              <w:jc w:val="both"/>
            </w:pPr>
            <w:r>
              <w:rPr>
                <w:rFonts w:cs="Arial"/>
              </w:rPr>
              <w:t>We fully support the priority given to improving the nutrition health and wellbeing of children from the earliest age and welcome the continued focus on improving breastfeeding rates.</w:t>
            </w:r>
            <w:r w:rsidR="009D5B65">
              <w:rPr>
                <w:rFonts w:cs="Arial"/>
              </w:rPr>
              <w:t xml:space="preserve">  As part of the universal health visiting timeline all children are now weighed and measured at the 27-30 month assessment. This offers prime opportunity for early intervention and practical support to families if a child is found to be above a healthy weight.  However, the majority of Boards continue to target their child healthy weight allocation on </w:t>
            </w:r>
            <w:r w:rsidR="001655D5">
              <w:rPr>
                <w:rFonts w:cs="Arial"/>
              </w:rPr>
              <w:t xml:space="preserve">those </w:t>
            </w:r>
            <w:r w:rsidR="009D5B65">
              <w:rPr>
                <w:rFonts w:cs="Arial"/>
              </w:rPr>
              <w:t xml:space="preserve">aged 5-15 due to the previous health improvement target.  </w:t>
            </w:r>
            <w:r w:rsidR="00822646">
              <w:rPr>
                <w:rFonts w:cs="Arial"/>
              </w:rPr>
              <w:t xml:space="preserve">There is a need to gather information on local practice and map the interventions provided at the 27-30 month assessment for children above a healthy weight </w:t>
            </w:r>
            <w:r w:rsidR="001655D5">
              <w:rPr>
                <w:rFonts w:cs="Arial"/>
              </w:rPr>
              <w:t>to determine where gaps and opportunities exist across Scotland.</w:t>
            </w:r>
            <w:r w:rsidR="00EB0537">
              <w:rPr>
                <w:rFonts w:cs="Arial"/>
              </w:rPr>
              <w:t xml:space="preserve"> </w:t>
            </w:r>
            <w:r w:rsidR="00F27EDA">
              <w:rPr>
                <w:rFonts w:cs="Arial"/>
              </w:rPr>
              <w:t xml:space="preserve">NHS Health Scotland has mapped </w:t>
            </w:r>
            <w:r w:rsidR="00EB0537">
              <w:rPr>
                <w:rFonts w:cs="Arial"/>
              </w:rPr>
              <w:t>child h</w:t>
            </w:r>
            <w:r w:rsidR="00F27EDA">
              <w:rPr>
                <w:rFonts w:cs="Arial"/>
              </w:rPr>
              <w:t xml:space="preserve">ealthy </w:t>
            </w:r>
            <w:r w:rsidR="00EB0537">
              <w:rPr>
                <w:rFonts w:cs="Arial"/>
              </w:rPr>
              <w:t>w</w:t>
            </w:r>
            <w:r w:rsidR="00F27EDA">
              <w:rPr>
                <w:rFonts w:cs="Arial"/>
              </w:rPr>
              <w:t xml:space="preserve">eight interventions across Scotland and this information could be </w:t>
            </w:r>
            <w:r w:rsidR="00EB0537">
              <w:rPr>
                <w:rFonts w:cs="Arial"/>
              </w:rPr>
              <w:t xml:space="preserve">extended </w:t>
            </w:r>
            <w:r w:rsidR="00F27EDA">
              <w:rPr>
                <w:rFonts w:cs="Arial"/>
              </w:rPr>
              <w:t xml:space="preserve">to </w:t>
            </w:r>
            <w:r w:rsidR="00EB0537">
              <w:rPr>
                <w:rFonts w:cs="Arial"/>
              </w:rPr>
              <w:t>include early years</w:t>
            </w:r>
            <w:r w:rsidR="00F27EDA">
              <w:rPr>
                <w:rFonts w:cs="Arial"/>
              </w:rPr>
              <w:t>.</w:t>
            </w:r>
            <w:r w:rsidR="00194B2C">
              <w:rPr>
                <w:rFonts w:cs="Arial"/>
              </w:rPr>
              <w:t xml:space="preserve"> </w:t>
            </w:r>
            <w:r w:rsidR="005B1022">
              <w:rPr>
                <w:rFonts w:cs="Arial"/>
              </w:rPr>
              <w:t xml:space="preserve"> </w:t>
            </w:r>
            <w:r w:rsidR="00194B2C">
              <w:rPr>
                <w:rFonts w:cs="Arial"/>
              </w:rPr>
              <w:t xml:space="preserve">We </w:t>
            </w:r>
            <w:r w:rsidR="0015061A">
              <w:rPr>
                <w:rFonts w:cs="Arial"/>
              </w:rPr>
              <w:t xml:space="preserve">recommend </w:t>
            </w:r>
            <w:r w:rsidR="00194B2C">
              <w:rPr>
                <w:rFonts w:cs="Arial"/>
              </w:rPr>
              <w:t xml:space="preserve">consideration </w:t>
            </w:r>
            <w:r w:rsidR="0015061A">
              <w:rPr>
                <w:rFonts w:cs="Arial"/>
              </w:rPr>
              <w:t xml:space="preserve">is </w:t>
            </w:r>
            <w:r w:rsidR="00194B2C">
              <w:rPr>
                <w:rFonts w:cs="Arial"/>
              </w:rPr>
              <w:t>given to the introduction of additional height and weight measurements in primary and secondary schools as recommended in the Scottish Public Health Network report on Child Healthy Weight in 2014</w:t>
            </w:r>
            <w:r w:rsidR="00000606">
              <w:rPr>
                <w:rFonts w:cs="Arial"/>
              </w:rPr>
              <w:t>.</w:t>
            </w:r>
          </w:p>
          <w:p w14:paraId="74B2711C" w14:textId="77777777" w:rsidR="008331D1" w:rsidRPr="00827913" w:rsidRDefault="008331D1" w:rsidP="00660ADA">
            <w:pPr>
              <w:jc w:val="both"/>
            </w:pPr>
          </w:p>
        </w:tc>
      </w:tr>
      <w:tr w:rsidR="00827913" w14:paraId="74B27129" w14:textId="77777777" w:rsidTr="00660ADA">
        <w:tc>
          <w:tcPr>
            <w:tcW w:w="0" w:type="auto"/>
            <w:shd w:val="clear" w:color="auto" w:fill="auto"/>
          </w:tcPr>
          <w:p w14:paraId="74B2711E" w14:textId="77777777" w:rsidR="00827913" w:rsidRPr="00827913" w:rsidRDefault="00827913" w:rsidP="00660ADA">
            <w:pPr>
              <w:jc w:val="both"/>
            </w:pPr>
            <w:r w:rsidRPr="00C55BA8">
              <w:lastRenderedPageBreak/>
              <w:t>3.</w:t>
            </w:r>
            <w:r w:rsidR="005D6663" w:rsidRPr="00C55BA8">
              <w:t>4</w:t>
            </w:r>
          </w:p>
        </w:tc>
        <w:tc>
          <w:tcPr>
            <w:tcW w:w="0" w:type="auto"/>
          </w:tcPr>
          <w:p w14:paraId="74B2711F" w14:textId="77777777" w:rsidR="00880849" w:rsidRDefault="004F0D79" w:rsidP="00660ADA">
            <w:pPr>
              <w:jc w:val="both"/>
              <w:rPr>
                <w:rFonts w:cs="Arial"/>
              </w:rPr>
            </w:pPr>
            <w:r w:rsidRPr="004F0D79">
              <w:t xml:space="preserve">The </w:t>
            </w:r>
            <w:r w:rsidR="00FF5728" w:rsidRPr="004F0D79">
              <w:t>Physical Activity Delivery Plan</w:t>
            </w:r>
            <w:r w:rsidR="00FF5728">
              <w:rPr>
                <w:rFonts w:cs="Arial"/>
              </w:rPr>
              <w:t xml:space="preserve"> sets out the Scottish Government’s </w:t>
            </w:r>
            <w:r>
              <w:rPr>
                <w:rFonts w:cs="Arial"/>
              </w:rPr>
              <w:t>vision to enable more people in Scotland to be more active, more often.</w:t>
            </w:r>
            <w:r w:rsidR="00EB0537">
              <w:rPr>
                <w:rFonts w:cs="Arial"/>
              </w:rPr>
              <w:t xml:space="preserve">  </w:t>
            </w:r>
            <w:r w:rsidR="00880849">
              <w:rPr>
                <w:rFonts w:cs="Arial"/>
              </w:rPr>
              <w:t xml:space="preserve">This is not a straightforward task and there are similarities to the Diet and Healthy Weight Delivery Plan in terms of </w:t>
            </w:r>
            <w:r w:rsidR="007E5087">
              <w:rPr>
                <w:rFonts w:cs="Arial"/>
              </w:rPr>
              <w:t xml:space="preserve">the paradigm shift and </w:t>
            </w:r>
            <w:r w:rsidR="00880849">
              <w:rPr>
                <w:rFonts w:cs="Arial"/>
              </w:rPr>
              <w:t xml:space="preserve">national action required to </w:t>
            </w:r>
            <w:r w:rsidR="007E5087">
              <w:rPr>
                <w:rFonts w:cs="Arial"/>
              </w:rPr>
              <w:t>achieve improvements in population health</w:t>
            </w:r>
            <w:r w:rsidR="00880849">
              <w:rPr>
                <w:rFonts w:cs="Arial"/>
              </w:rPr>
              <w:t>.</w:t>
            </w:r>
            <w:r w:rsidR="007E5087">
              <w:rPr>
                <w:rFonts w:cs="Arial"/>
              </w:rPr>
              <w:t xml:space="preserve">  The WHO prioritises such action under four key themes in their </w:t>
            </w:r>
            <w:r w:rsidR="007E5087" w:rsidRPr="007E5087">
              <w:rPr>
                <w:rFonts w:cs="Arial"/>
                <w:i/>
              </w:rPr>
              <w:t>Global Action Plan on Physical Activity</w:t>
            </w:r>
            <w:r w:rsidR="00EB0537">
              <w:rPr>
                <w:rFonts w:cs="Arial"/>
                <w:i/>
              </w:rPr>
              <w:t xml:space="preserve"> </w:t>
            </w:r>
            <w:r w:rsidR="007E5087" w:rsidRPr="007E5087">
              <w:rPr>
                <w:rFonts w:cs="Arial"/>
                <w:i/>
              </w:rPr>
              <w:t>2018-2030</w:t>
            </w:r>
            <w:r w:rsidR="00823F22">
              <w:rPr>
                <w:rStyle w:val="FootnoteReference"/>
                <w:rFonts w:cs="Arial"/>
                <w:i/>
              </w:rPr>
              <w:footnoteReference w:id="21"/>
            </w:r>
            <w:r w:rsidR="007E5087">
              <w:rPr>
                <w:rFonts w:cs="Arial"/>
              </w:rPr>
              <w:t>: active societies; active</w:t>
            </w:r>
            <w:r w:rsidR="00EB0537">
              <w:rPr>
                <w:rFonts w:cs="Arial"/>
              </w:rPr>
              <w:t xml:space="preserve"> </w:t>
            </w:r>
            <w:r w:rsidR="007E5087">
              <w:rPr>
                <w:rFonts w:cs="Arial"/>
              </w:rPr>
              <w:t>environments; active people; active systems.</w:t>
            </w:r>
          </w:p>
          <w:p w14:paraId="74B27120" w14:textId="77777777" w:rsidR="00000606" w:rsidRDefault="00000606" w:rsidP="00660ADA">
            <w:pPr>
              <w:jc w:val="both"/>
              <w:rPr>
                <w:rFonts w:cs="Arial"/>
              </w:rPr>
            </w:pPr>
          </w:p>
          <w:p w14:paraId="74B27121" w14:textId="77777777" w:rsidR="00DE4054" w:rsidRDefault="002E3F4E" w:rsidP="00660ADA">
            <w:pPr>
              <w:jc w:val="both"/>
              <w:rPr>
                <w:rFonts w:cs="Arial"/>
              </w:rPr>
            </w:pPr>
            <w:r>
              <w:rPr>
                <w:rFonts w:cs="Arial"/>
              </w:rPr>
              <w:t xml:space="preserve">We welcome the significant investment in </w:t>
            </w:r>
            <w:r w:rsidR="00DE4054">
              <w:rPr>
                <w:rFonts w:cs="Arial"/>
              </w:rPr>
              <w:t xml:space="preserve">infrastructure for active travel and the joint work with Transport Scotland and other national agencies including Sustrans, Energy Saving Trust and Cycling Scotland.  </w:t>
            </w:r>
            <w:r w:rsidR="00137F55">
              <w:rPr>
                <w:rFonts w:cs="Arial"/>
              </w:rPr>
              <w:t xml:space="preserve">We urge Scottish Government to sustain this investment in the long term to ensure </w:t>
            </w:r>
            <w:r w:rsidR="00DE4054">
              <w:rPr>
                <w:rFonts w:cs="Arial"/>
              </w:rPr>
              <w:t xml:space="preserve">changes </w:t>
            </w:r>
            <w:r w:rsidR="00137F55">
              <w:rPr>
                <w:rFonts w:cs="Arial"/>
              </w:rPr>
              <w:t xml:space="preserve">in infrastructure </w:t>
            </w:r>
            <w:r w:rsidR="00DE4054">
              <w:rPr>
                <w:rFonts w:cs="Arial"/>
              </w:rPr>
              <w:t>become embedded</w:t>
            </w:r>
            <w:r w:rsidR="00137F55">
              <w:rPr>
                <w:rFonts w:cs="Arial"/>
              </w:rPr>
              <w:t xml:space="preserve"> and accepted as the norm</w:t>
            </w:r>
            <w:r w:rsidR="00DE4054">
              <w:rPr>
                <w:rFonts w:cs="Arial"/>
              </w:rPr>
              <w:t>.</w:t>
            </w:r>
            <w:r w:rsidR="001F232B">
              <w:rPr>
                <w:rFonts w:cs="Arial"/>
              </w:rPr>
              <w:t xml:space="preserve">  As well as the benefits to the food environment that the review of Scottish Planning Policy will bring, there will undoubtedly be opportunities to improve the environment to promote physical activity. </w:t>
            </w:r>
          </w:p>
          <w:p w14:paraId="74B27122" w14:textId="77777777" w:rsidR="00000606" w:rsidRDefault="00000606" w:rsidP="00660ADA">
            <w:pPr>
              <w:jc w:val="both"/>
              <w:rPr>
                <w:rFonts w:cs="Arial"/>
              </w:rPr>
            </w:pPr>
          </w:p>
          <w:p w14:paraId="74B27123" w14:textId="77777777" w:rsidR="00880849" w:rsidRDefault="00DE4054" w:rsidP="00660ADA">
            <w:pPr>
              <w:jc w:val="both"/>
              <w:rPr>
                <w:rFonts w:cs="Arial"/>
              </w:rPr>
            </w:pPr>
            <w:r>
              <w:rPr>
                <w:rFonts w:cs="Arial"/>
              </w:rPr>
              <w:t xml:space="preserve">We also welcome </w:t>
            </w:r>
            <w:r w:rsidR="00137F55">
              <w:rPr>
                <w:rFonts w:cs="Arial"/>
              </w:rPr>
              <w:t>a number of the a</w:t>
            </w:r>
            <w:r>
              <w:rPr>
                <w:rFonts w:cs="Arial"/>
              </w:rPr>
              <w:t xml:space="preserve">ctions </w:t>
            </w:r>
            <w:r w:rsidR="00137F55">
              <w:rPr>
                <w:rFonts w:cs="Arial"/>
              </w:rPr>
              <w:t>targeted at specific subgroups within the population</w:t>
            </w:r>
            <w:r w:rsidR="00EB0537">
              <w:rPr>
                <w:rFonts w:cs="Arial"/>
              </w:rPr>
              <w:t xml:space="preserve"> </w:t>
            </w:r>
            <w:r w:rsidR="00137F55">
              <w:rPr>
                <w:rFonts w:cs="Arial"/>
              </w:rPr>
              <w:t>such as children and young people, particularly girls and young women, older people</w:t>
            </w:r>
            <w:r w:rsidR="005B1022">
              <w:rPr>
                <w:rFonts w:cs="Arial"/>
              </w:rPr>
              <w:t xml:space="preserve"> and more deprived populations</w:t>
            </w:r>
            <w:r w:rsidR="00137F55">
              <w:rPr>
                <w:rFonts w:cs="Arial"/>
              </w:rPr>
              <w:t xml:space="preserve">.  </w:t>
            </w:r>
            <w:r w:rsidR="001F232B">
              <w:rPr>
                <w:rFonts w:cs="Arial"/>
              </w:rPr>
              <w:t xml:space="preserve">Creating and promoting access to </w:t>
            </w:r>
            <w:r w:rsidR="00137F55">
              <w:rPr>
                <w:rFonts w:cs="Arial"/>
              </w:rPr>
              <w:t>opportunities for people to be physically active</w:t>
            </w:r>
            <w:r w:rsidR="00E126FC">
              <w:rPr>
                <w:rFonts w:cs="Arial"/>
              </w:rPr>
              <w:t xml:space="preserve">, to remain active, </w:t>
            </w:r>
            <w:r w:rsidR="00137F55">
              <w:rPr>
                <w:rFonts w:cs="Arial"/>
              </w:rPr>
              <w:t xml:space="preserve">and removing the barriers to participation </w:t>
            </w:r>
            <w:r w:rsidR="00E126FC">
              <w:rPr>
                <w:rFonts w:cs="Arial"/>
              </w:rPr>
              <w:t>in</w:t>
            </w:r>
            <w:r w:rsidR="00EB0537">
              <w:rPr>
                <w:rFonts w:cs="Arial"/>
              </w:rPr>
              <w:t xml:space="preserve"> </w:t>
            </w:r>
            <w:r w:rsidR="00E126FC">
              <w:rPr>
                <w:rFonts w:cs="Arial"/>
              </w:rPr>
              <w:t>physical activity</w:t>
            </w:r>
            <w:r w:rsidR="00595F9D">
              <w:rPr>
                <w:rFonts w:cs="Arial"/>
              </w:rPr>
              <w:t xml:space="preserve"> (including active play) </w:t>
            </w:r>
            <w:r w:rsidR="00E126FC">
              <w:rPr>
                <w:rFonts w:cs="Arial"/>
              </w:rPr>
              <w:t xml:space="preserve">or sport </w:t>
            </w:r>
            <w:r w:rsidR="00137F55">
              <w:rPr>
                <w:rFonts w:cs="Arial"/>
              </w:rPr>
              <w:t>are essential</w:t>
            </w:r>
            <w:r w:rsidR="00E126FC">
              <w:rPr>
                <w:rFonts w:cs="Arial"/>
              </w:rPr>
              <w:t>.</w:t>
            </w:r>
          </w:p>
          <w:p w14:paraId="74B27124" w14:textId="77777777" w:rsidR="00823F22" w:rsidRDefault="00823F22" w:rsidP="00660ADA">
            <w:pPr>
              <w:jc w:val="both"/>
              <w:rPr>
                <w:rFonts w:cs="Arial"/>
              </w:rPr>
            </w:pPr>
          </w:p>
          <w:p w14:paraId="74B27125" w14:textId="77777777" w:rsidR="00272C7E" w:rsidRDefault="00823F22" w:rsidP="00660ADA">
            <w:pPr>
              <w:jc w:val="both"/>
              <w:rPr>
                <w:rFonts w:cs="Arial"/>
              </w:rPr>
            </w:pPr>
            <w:r>
              <w:rPr>
                <w:rFonts w:cs="Arial"/>
              </w:rPr>
              <w:t>We support the view that a range of agencies and professional groups have a valuable role to play in promoting and enabling more people to be physically active</w:t>
            </w:r>
            <w:r w:rsidR="00355961">
              <w:rPr>
                <w:rFonts w:cs="Arial"/>
              </w:rPr>
              <w:t>, including through signposting individuals towards specialist services</w:t>
            </w:r>
            <w:r>
              <w:rPr>
                <w:rFonts w:cs="Arial"/>
              </w:rPr>
              <w:t xml:space="preserve">.  As such we endorse </w:t>
            </w:r>
            <w:r w:rsidR="00880849">
              <w:rPr>
                <w:rFonts w:cs="Arial"/>
              </w:rPr>
              <w:t>the commitment in the Health &amp; Social Care Delivery Plan to r</w:t>
            </w:r>
            <w:r w:rsidR="00272C7E">
              <w:rPr>
                <w:rFonts w:cs="Arial"/>
              </w:rPr>
              <w:t xml:space="preserve">oll out </w:t>
            </w:r>
            <w:r>
              <w:rPr>
                <w:rFonts w:cs="Arial"/>
              </w:rPr>
              <w:t xml:space="preserve">and embed the national physical activity </w:t>
            </w:r>
            <w:r w:rsidR="00272C7E">
              <w:rPr>
                <w:rFonts w:cs="Arial"/>
              </w:rPr>
              <w:t>pathway</w:t>
            </w:r>
            <w:r>
              <w:rPr>
                <w:rFonts w:cs="Arial"/>
              </w:rPr>
              <w:t xml:space="preserve"> in all appropriate clinical settings.  In addition, there is a need for key messages on physical activity to be included in preparation programmes and </w:t>
            </w:r>
            <w:r w:rsidR="002A1B3A">
              <w:rPr>
                <w:rFonts w:cs="Arial"/>
              </w:rPr>
              <w:t xml:space="preserve">continuing professional development </w:t>
            </w:r>
            <w:r w:rsidR="00286649">
              <w:rPr>
                <w:rFonts w:cs="Arial"/>
              </w:rPr>
              <w:t>sessions for</w:t>
            </w:r>
            <w:r w:rsidR="00595F9D">
              <w:rPr>
                <w:rFonts w:cs="Arial"/>
              </w:rPr>
              <w:t xml:space="preserve"> health and social care, education, and culture and leisure staff</w:t>
            </w:r>
            <w:r w:rsidR="00194B2C">
              <w:rPr>
                <w:rFonts w:cs="Arial"/>
              </w:rPr>
              <w:t xml:space="preserve"> using the principles of the Health Promoting Health Service</w:t>
            </w:r>
            <w:r w:rsidR="00595F9D">
              <w:rPr>
                <w:rFonts w:cs="Arial"/>
              </w:rPr>
              <w:t>.</w:t>
            </w:r>
            <w:r w:rsidR="00EB0537">
              <w:rPr>
                <w:rFonts w:cs="Arial"/>
              </w:rPr>
              <w:t xml:space="preserve">  </w:t>
            </w:r>
            <w:r w:rsidR="00595F9D">
              <w:rPr>
                <w:rFonts w:cs="Arial"/>
              </w:rPr>
              <w:t>Further opportunity exists to s</w:t>
            </w:r>
            <w:r w:rsidR="00272C7E">
              <w:rPr>
                <w:rFonts w:cs="Arial"/>
              </w:rPr>
              <w:t xml:space="preserve">trengthen </w:t>
            </w:r>
            <w:r w:rsidR="00595F9D">
              <w:rPr>
                <w:rFonts w:cs="Arial"/>
              </w:rPr>
              <w:t xml:space="preserve">the role that Community Planning Partnerships have </w:t>
            </w:r>
            <w:r w:rsidR="00F71273">
              <w:rPr>
                <w:rFonts w:cs="Arial"/>
              </w:rPr>
              <w:t>to drive forward changes in infrastructure, transport, land use and green spaces at local level.</w:t>
            </w:r>
          </w:p>
          <w:p w14:paraId="74B27126" w14:textId="77777777" w:rsidR="00272C7E" w:rsidRDefault="00272C7E" w:rsidP="00660ADA">
            <w:pPr>
              <w:jc w:val="both"/>
              <w:rPr>
                <w:rFonts w:cs="Arial"/>
              </w:rPr>
            </w:pPr>
          </w:p>
          <w:p w14:paraId="74B27127" w14:textId="77777777" w:rsidR="00F94135" w:rsidRDefault="002A1B3A" w:rsidP="00660ADA">
            <w:pPr>
              <w:jc w:val="both"/>
              <w:rPr>
                <w:rFonts w:cs="Arial"/>
              </w:rPr>
            </w:pPr>
            <w:r>
              <w:rPr>
                <w:rFonts w:cs="Arial"/>
              </w:rPr>
              <w:lastRenderedPageBreak/>
              <w:t xml:space="preserve">Technological advances and increasing automation within </w:t>
            </w:r>
            <w:r w:rsidR="00B53A26">
              <w:rPr>
                <w:rFonts w:cs="Arial"/>
              </w:rPr>
              <w:t xml:space="preserve">many </w:t>
            </w:r>
            <w:r>
              <w:rPr>
                <w:rFonts w:cs="Arial"/>
              </w:rPr>
              <w:t>industr</w:t>
            </w:r>
            <w:r w:rsidR="00B53A26">
              <w:rPr>
                <w:rFonts w:cs="Arial"/>
              </w:rPr>
              <w:t>ies</w:t>
            </w:r>
            <w:r>
              <w:rPr>
                <w:rFonts w:cs="Arial"/>
              </w:rPr>
              <w:t xml:space="preserve"> and </w:t>
            </w:r>
            <w:r w:rsidR="00B53A26">
              <w:rPr>
                <w:rFonts w:cs="Arial"/>
              </w:rPr>
              <w:t xml:space="preserve">as part of </w:t>
            </w:r>
            <w:r>
              <w:rPr>
                <w:rFonts w:cs="Arial"/>
              </w:rPr>
              <w:t xml:space="preserve">modern </w:t>
            </w:r>
            <w:r w:rsidR="00B53A26">
              <w:rPr>
                <w:rFonts w:cs="Arial"/>
              </w:rPr>
              <w:t xml:space="preserve">day </w:t>
            </w:r>
            <w:r>
              <w:rPr>
                <w:rFonts w:cs="Arial"/>
              </w:rPr>
              <w:t xml:space="preserve">living have the </w:t>
            </w:r>
            <w:r w:rsidR="00B53A26">
              <w:rPr>
                <w:rFonts w:cs="Arial"/>
              </w:rPr>
              <w:t xml:space="preserve">potential to result in an </w:t>
            </w:r>
            <w:r>
              <w:rPr>
                <w:rFonts w:cs="Arial"/>
              </w:rPr>
              <w:t xml:space="preserve">unintended consequence </w:t>
            </w:r>
            <w:r w:rsidR="00B53A26">
              <w:rPr>
                <w:rFonts w:cs="Arial"/>
              </w:rPr>
              <w:t>where more people become more sedentary</w:t>
            </w:r>
            <w:r w:rsidR="00355961">
              <w:rPr>
                <w:rFonts w:cs="Arial"/>
              </w:rPr>
              <w:t>; they do also have the potential to help people be more physically active e.g. electric bikes.</w:t>
            </w:r>
            <w:r w:rsidR="00B53A26">
              <w:rPr>
                <w:rFonts w:cs="Arial"/>
              </w:rPr>
              <w:t xml:space="preserve">.  Such macro level issues are not explicitly </w:t>
            </w:r>
            <w:r w:rsidR="005D6663">
              <w:rPr>
                <w:rFonts w:cs="Arial"/>
              </w:rPr>
              <w:t>address</w:t>
            </w:r>
            <w:r w:rsidR="00B53A26">
              <w:rPr>
                <w:rFonts w:cs="Arial"/>
              </w:rPr>
              <w:t>ed in the Delivery Plan, however, they do need further consideration.</w:t>
            </w:r>
          </w:p>
          <w:p w14:paraId="74B27128" w14:textId="77777777" w:rsidR="00407996" w:rsidRPr="00827913" w:rsidRDefault="00407996" w:rsidP="00660ADA">
            <w:pPr>
              <w:jc w:val="both"/>
            </w:pPr>
          </w:p>
        </w:tc>
      </w:tr>
      <w:tr w:rsidR="00827913" w14:paraId="74B2712F" w14:textId="77777777" w:rsidTr="00660ADA">
        <w:tc>
          <w:tcPr>
            <w:tcW w:w="0" w:type="auto"/>
            <w:shd w:val="clear" w:color="auto" w:fill="auto"/>
          </w:tcPr>
          <w:p w14:paraId="74B2712A" w14:textId="77777777" w:rsidR="00827913" w:rsidRPr="00827913" w:rsidRDefault="00827913" w:rsidP="00660ADA">
            <w:pPr>
              <w:jc w:val="both"/>
            </w:pPr>
            <w:r w:rsidRPr="00827913">
              <w:lastRenderedPageBreak/>
              <w:t>3.</w:t>
            </w:r>
            <w:r w:rsidR="005D6663">
              <w:t>5</w:t>
            </w:r>
          </w:p>
        </w:tc>
        <w:tc>
          <w:tcPr>
            <w:tcW w:w="0" w:type="auto"/>
          </w:tcPr>
          <w:p w14:paraId="74B2712B" w14:textId="77777777" w:rsidR="00C55BA8" w:rsidRDefault="001655D5" w:rsidP="00660ADA">
            <w:pPr>
              <w:jc w:val="both"/>
              <w:rPr>
                <w:rFonts w:cs="Arial"/>
              </w:rPr>
            </w:pPr>
            <w:r>
              <w:rPr>
                <w:rFonts w:cs="Arial"/>
              </w:rPr>
              <w:t>Five NHS Boards have been invit</w:t>
            </w:r>
            <w:r w:rsidR="004E6016">
              <w:rPr>
                <w:rFonts w:cs="Arial"/>
              </w:rPr>
              <w:t xml:space="preserve">ed to be early adopters for implementation of the </w:t>
            </w:r>
            <w:r w:rsidR="004E6016">
              <w:rPr>
                <w:rFonts w:cs="Arial"/>
                <w:i/>
              </w:rPr>
              <w:t xml:space="preserve">Framework for the </w:t>
            </w:r>
            <w:r w:rsidR="004E6016" w:rsidRPr="0034344F">
              <w:rPr>
                <w:rFonts w:cs="Arial"/>
                <w:i/>
              </w:rPr>
              <w:t>Prevention, Early Intervention and Early Detection</w:t>
            </w:r>
            <w:r w:rsidR="004E6016">
              <w:rPr>
                <w:rFonts w:cs="Arial"/>
                <w:i/>
              </w:rPr>
              <w:t xml:space="preserve"> of type 2 diabetes</w:t>
            </w:r>
            <w:r w:rsidR="00A07DF6">
              <w:rPr>
                <w:rFonts w:cs="Arial"/>
                <w:i/>
              </w:rPr>
              <w:t>.</w:t>
            </w:r>
            <w:r w:rsidR="00A07DF6">
              <w:rPr>
                <w:rFonts w:cs="Arial"/>
              </w:rPr>
              <w:t xml:space="preserve">  In addition, these five Boards have been invited to work with Scottish Government and a number of national agencies, such as Food Standards Scotland, Obesity Action Scotland and NHS Health Scotland, to be </w:t>
            </w:r>
            <w:r w:rsidR="00EB0537">
              <w:rPr>
                <w:rFonts w:cs="Arial"/>
              </w:rPr>
              <w:t>trailblazer</w:t>
            </w:r>
            <w:r w:rsidR="00A07DF6">
              <w:rPr>
                <w:rFonts w:cs="Arial"/>
              </w:rPr>
              <w:t xml:space="preserve"> sites for a wider systems approach to obesity prevention.</w:t>
            </w:r>
            <w:r w:rsidR="00F2677F">
              <w:rPr>
                <w:rFonts w:cs="Arial"/>
              </w:rPr>
              <w:t xml:space="preserve">  This presents the opportunity to highlight local work already underway and the crucial importance of collaboration across Community Planning Partnerships and Health &amp; Social Care Partnerships.  Locality planning structures provide a mechanism to engage with communities to co-create healthier places </w:t>
            </w:r>
            <w:r w:rsidR="000635A9">
              <w:rPr>
                <w:rFonts w:cs="Arial"/>
              </w:rPr>
              <w:t>and environments for people to live, work and play.</w:t>
            </w:r>
          </w:p>
          <w:p w14:paraId="74B2712C" w14:textId="77777777" w:rsidR="00C55BA8" w:rsidRDefault="00C55BA8" w:rsidP="00660ADA">
            <w:pPr>
              <w:jc w:val="both"/>
              <w:rPr>
                <w:rFonts w:cs="Arial"/>
              </w:rPr>
            </w:pPr>
          </w:p>
          <w:p w14:paraId="74B2712D" w14:textId="77777777" w:rsidR="00C55BA8" w:rsidRPr="00671E98" w:rsidRDefault="00C55BA8" w:rsidP="00660ADA">
            <w:pPr>
              <w:jc w:val="both"/>
              <w:rPr>
                <w:rFonts w:cs="Arial"/>
              </w:rPr>
            </w:pPr>
            <w:r w:rsidRPr="00671E98">
              <w:rPr>
                <w:rFonts w:cs="Arial"/>
              </w:rPr>
              <w:t>The Scottish Directors of Public Health recognise the important contribution physical activity makes to general health and wellbeing.</w:t>
            </w:r>
            <w:r w:rsidR="00BD7D6A">
              <w:rPr>
                <w:rFonts w:cs="Arial"/>
              </w:rPr>
              <w:t xml:space="preserve">  </w:t>
            </w:r>
            <w:r w:rsidRPr="00671E98">
              <w:rPr>
                <w:rFonts w:cs="Arial"/>
              </w:rPr>
              <w:t xml:space="preserve">To ensure sufficient focus on this important public health issue, the benefits of physical active for the </w:t>
            </w:r>
            <w:r w:rsidR="00A10BBD" w:rsidRPr="00671E98">
              <w:rPr>
                <w:rFonts w:cs="Arial"/>
              </w:rPr>
              <w:t>maintenance</w:t>
            </w:r>
            <w:r w:rsidRPr="00671E98">
              <w:rPr>
                <w:rFonts w:cs="Arial"/>
              </w:rPr>
              <w:t xml:space="preserve"> of healthy weight are addressed in this position statement and</w:t>
            </w:r>
            <w:r w:rsidR="00A23CCE">
              <w:rPr>
                <w:rFonts w:cs="Arial"/>
              </w:rPr>
              <w:t>, as mentioned previously,</w:t>
            </w:r>
            <w:r w:rsidRPr="00671E98">
              <w:rPr>
                <w:rFonts w:cs="Arial"/>
              </w:rPr>
              <w:t xml:space="preserve"> the wider benefits are addressed in a separate but complementary position statement. </w:t>
            </w:r>
          </w:p>
          <w:p w14:paraId="74B2712E" w14:textId="77777777" w:rsidR="00827913" w:rsidRPr="00827913" w:rsidRDefault="00827913" w:rsidP="00660ADA">
            <w:pPr>
              <w:jc w:val="both"/>
            </w:pPr>
          </w:p>
        </w:tc>
      </w:tr>
      <w:tr w:rsidR="00664C4A" w:rsidRPr="0011716C" w14:paraId="74B27133" w14:textId="77777777" w:rsidTr="00660ADA">
        <w:tc>
          <w:tcPr>
            <w:tcW w:w="0" w:type="auto"/>
          </w:tcPr>
          <w:p w14:paraId="74B27130" w14:textId="77777777" w:rsidR="00664C4A" w:rsidRPr="0011716C" w:rsidRDefault="00664C4A" w:rsidP="00660ADA">
            <w:pPr>
              <w:jc w:val="both"/>
              <w:rPr>
                <w:b/>
              </w:rPr>
            </w:pPr>
            <w:r>
              <w:rPr>
                <w:b/>
              </w:rPr>
              <w:t>4.</w:t>
            </w:r>
          </w:p>
        </w:tc>
        <w:tc>
          <w:tcPr>
            <w:tcW w:w="0" w:type="auto"/>
            <w:shd w:val="clear" w:color="auto" w:fill="auto"/>
          </w:tcPr>
          <w:p w14:paraId="74B27131" w14:textId="77777777" w:rsidR="00F0343E" w:rsidRPr="00B1692F" w:rsidRDefault="00BD7D6A" w:rsidP="00660ADA">
            <w:pPr>
              <w:jc w:val="both"/>
              <w:rPr>
                <w:b/>
              </w:rPr>
            </w:pPr>
            <w:r w:rsidRPr="00B1692F">
              <w:rPr>
                <w:b/>
              </w:rPr>
              <w:t>Commitments</w:t>
            </w:r>
            <w:r w:rsidR="003D2A24" w:rsidRPr="00B1692F">
              <w:rPr>
                <w:b/>
              </w:rPr>
              <w:t xml:space="preserve"> by Scottish Directors of Public Health</w:t>
            </w:r>
          </w:p>
          <w:p w14:paraId="74B27132" w14:textId="77777777" w:rsidR="000F329C" w:rsidRPr="00B1692F" w:rsidRDefault="000F329C" w:rsidP="00660ADA">
            <w:pPr>
              <w:jc w:val="both"/>
              <w:rPr>
                <w:b/>
              </w:rPr>
            </w:pPr>
          </w:p>
        </w:tc>
      </w:tr>
      <w:tr w:rsidR="003762E3" w:rsidRPr="0011716C" w14:paraId="74B27145" w14:textId="77777777" w:rsidTr="00660ADA">
        <w:tc>
          <w:tcPr>
            <w:tcW w:w="0" w:type="auto"/>
          </w:tcPr>
          <w:p w14:paraId="74B27134" w14:textId="77777777" w:rsidR="003762E3" w:rsidRPr="00EF29EB" w:rsidRDefault="003762E3" w:rsidP="00660ADA">
            <w:pPr>
              <w:jc w:val="both"/>
            </w:pPr>
            <w:r w:rsidRPr="00671E98">
              <w:t>4.1</w:t>
            </w:r>
          </w:p>
        </w:tc>
        <w:tc>
          <w:tcPr>
            <w:tcW w:w="0" w:type="auto"/>
            <w:shd w:val="clear" w:color="auto" w:fill="auto"/>
          </w:tcPr>
          <w:p w14:paraId="74B27135" w14:textId="77777777" w:rsidR="003762E3" w:rsidRPr="00B1692F" w:rsidRDefault="003762E3" w:rsidP="00660ADA">
            <w:pPr>
              <w:jc w:val="both"/>
              <w:rPr>
                <w:rFonts w:cs="Arial"/>
              </w:rPr>
            </w:pPr>
            <w:r w:rsidRPr="00B1692F">
              <w:rPr>
                <w:rFonts w:cs="Arial"/>
              </w:rPr>
              <w:t>Achieving the ambition that everyone in Scotland eats well, has a healthy weight and is physically active</w:t>
            </w:r>
            <w:r w:rsidR="003D2A24" w:rsidRPr="00B1692F">
              <w:rPr>
                <w:rFonts w:cs="Arial"/>
              </w:rPr>
              <w:t>,</w:t>
            </w:r>
            <w:r w:rsidRPr="00B1692F">
              <w:rPr>
                <w:rFonts w:cs="Arial"/>
              </w:rPr>
              <w:t xml:space="preserve"> and that childhood obesity is halved by 2030 demands a multifaceted approach.  We have described a number of challenging issues from a local perspective. The Scottish Directors of Public Health are already working to provide the local leadership necessary to create a ren</w:t>
            </w:r>
            <w:r w:rsidR="00BD7D6A" w:rsidRPr="00B1692F">
              <w:rPr>
                <w:rFonts w:cs="Arial"/>
              </w:rPr>
              <w:t>e</w:t>
            </w:r>
            <w:r w:rsidRPr="00B1692F">
              <w:rPr>
                <w:rFonts w:cs="Arial"/>
              </w:rPr>
              <w:t>wed impetus in addressing local need</w:t>
            </w:r>
            <w:r w:rsidR="005744D8">
              <w:rPr>
                <w:rFonts w:cs="Arial"/>
              </w:rPr>
              <w:t>, whilst rema</w:t>
            </w:r>
            <w:r w:rsidR="00FA23D7">
              <w:rPr>
                <w:rFonts w:cs="Arial"/>
              </w:rPr>
              <w:t>i</w:t>
            </w:r>
            <w:r w:rsidR="005744D8">
              <w:rPr>
                <w:rFonts w:cs="Arial"/>
              </w:rPr>
              <w:t xml:space="preserve">ning committed to taking this work forward across the public health system on a “once / best for </w:t>
            </w:r>
            <w:r w:rsidR="00FA23D7">
              <w:rPr>
                <w:rFonts w:cs="Arial"/>
              </w:rPr>
              <w:t>S</w:t>
            </w:r>
            <w:r w:rsidR="005744D8">
              <w:rPr>
                <w:rFonts w:cs="Arial"/>
              </w:rPr>
              <w:t>cotland basis” where appropriate</w:t>
            </w:r>
            <w:r w:rsidRPr="00B1692F">
              <w:rPr>
                <w:rFonts w:cs="Arial"/>
              </w:rPr>
              <w:t xml:space="preserve">. </w:t>
            </w:r>
          </w:p>
          <w:p w14:paraId="74B27136" w14:textId="77777777" w:rsidR="003762E3" w:rsidRPr="00B1692F" w:rsidRDefault="003762E3" w:rsidP="00660ADA">
            <w:pPr>
              <w:jc w:val="both"/>
              <w:rPr>
                <w:rFonts w:cs="Arial"/>
              </w:rPr>
            </w:pPr>
          </w:p>
          <w:p w14:paraId="74B27137" w14:textId="77777777" w:rsidR="003762E3" w:rsidRPr="00B1692F" w:rsidRDefault="003762E3" w:rsidP="00660ADA">
            <w:pPr>
              <w:jc w:val="both"/>
              <w:rPr>
                <w:rFonts w:cs="Arial"/>
              </w:rPr>
            </w:pPr>
            <w:r w:rsidRPr="00B1692F">
              <w:rPr>
                <w:rFonts w:cs="Arial"/>
              </w:rPr>
              <w:t xml:space="preserve">However, this </w:t>
            </w:r>
            <w:r w:rsidR="00AA6677" w:rsidRPr="00B1692F">
              <w:rPr>
                <w:rFonts w:cs="Arial"/>
              </w:rPr>
              <w:t>public health</w:t>
            </w:r>
            <w:r w:rsidRPr="00B1692F">
              <w:rPr>
                <w:rFonts w:cs="Arial"/>
              </w:rPr>
              <w:t xml:space="preserve"> agenda also requires a national response and the Scottish Directors of Public Heath have agreed to use their collective influence to facilitate wider action. </w:t>
            </w:r>
            <w:r w:rsidR="00BD7D6A" w:rsidRPr="00B1692F">
              <w:rPr>
                <w:rFonts w:cs="Arial"/>
              </w:rPr>
              <w:t xml:space="preserve"> </w:t>
            </w:r>
            <w:r w:rsidRPr="00B1692F">
              <w:rPr>
                <w:rFonts w:cs="Arial"/>
              </w:rPr>
              <w:t>In order to stimulate such wider action, the S</w:t>
            </w:r>
            <w:r w:rsidR="003D2A24" w:rsidRPr="00B1692F">
              <w:rPr>
                <w:rFonts w:cs="Arial"/>
              </w:rPr>
              <w:t xml:space="preserve">cottish </w:t>
            </w:r>
            <w:r w:rsidRPr="00B1692F">
              <w:rPr>
                <w:rFonts w:cs="Arial"/>
              </w:rPr>
              <w:t>D</w:t>
            </w:r>
            <w:r w:rsidR="003D2A24" w:rsidRPr="00B1692F">
              <w:rPr>
                <w:rFonts w:cs="Arial"/>
              </w:rPr>
              <w:t>irector</w:t>
            </w:r>
            <w:r w:rsidRPr="00B1692F">
              <w:rPr>
                <w:rFonts w:cs="Arial"/>
              </w:rPr>
              <w:t>s</w:t>
            </w:r>
            <w:r w:rsidR="003D2A24" w:rsidRPr="00B1692F">
              <w:rPr>
                <w:rFonts w:cs="Arial"/>
              </w:rPr>
              <w:t xml:space="preserve"> of </w:t>
            </w:r>
            <w:r w:rsidRPr="00B1692F">
              <w:rPr>
                <w:rFonts w:cs="Arial"/>
              </w:rPr>
              <w:t>P</w:t>
            </w:r>
            <w:r w:rsidR="003D2A24" w:rsidRPr="00B1692F">
              <w:rPr>
                <w:rFonts w:cs="Arial"/>
              </w:rPr>
              <w:t xml:space="preserve">ublic </w:t>
            </w:r>
            <w:r w:rsidRPr="00B1692F">
              <w:rPr>
                <w:rFonts w:cs="Arial"/>
              </w:rPr>
              <w:t>H</w:t>
            </w:r>
            <w:r w:rsidR="003D2A24" w:rsidRPr="00B1692F">
              <w:rPr>
                <w:rFonts w:cs="Arial"/>
              </w:rPr>
              <w:t>ealth</w:t>
            </w:r>
            <w:r w:rsidRPr="00B1692F">
              <w:rPr>
                <w:rFonts w:cs="Arial"/>
              </w:rPr>
              <w:t xml:space="preserve"> will </w:t>
            </w:r>
            <w:r w:rsidR="00BD7D6A" w:rsidRPr="00B1692F">
              <w:rPr>
                <w:rFonts w:cs="Arial"/>
              </w:rPr>
              <w:t xml:space="preserve">commit to </w:t>
            </w:r>
            <w:r w:rsidRPr="00B1692F">
              <w:rPr>
                <w:rFonts w:cs="Arial"/>
              </w:rPr>
              <w:t>focus on the following key issues:</w:t>
            </w:r>
          </w:p>
          <w:p w14:paraId="74B27138" w14:textId="77777777" w:rsidR="003762E3" w:rsidRPr="00B1692F" w:rsidRDefault="003762E3" w:rsidP="00660ADA">
            <w:pPr>
              <w:jc w:val="both"/>
              <w:rPr>
                <w:rFonts w:cs="Arial"/>
              </w:rPr>
            </w:pPr>
          </w:p>
          <w:p w14:paraId="74B27139" w14:textId="77777777" w:rsidR="003762E3" w:rsidRPr="00B1692F" w:rsidRDefault="003762E3" w:rsidP="00660ADA">
            <w:pPr>
              <w:numPr>
                <w:ilvl w:val="0"/>
                <w:numId w:val="24"/>
              </w:numPr>
              <w:jc w:val="both"/>
              <w:rPr>
                <w:rFonts w:cs="Arial"/>
              </w:rPr>
            </w:pPr>
            <w:r w:rsidRPr="00B1692F">
              <w:rPr>
                <w:rFonts w:cs="Arial"/>
              </w:rPr>
              <w:t>encouraging improvements in</w:t>
            </w:r>
            <w:r w:rsidR="003D2A24" w:rsidRPr="00B1692F">
              <w:rPr>
                <w:rFonts w:cs="Arial"/>
              </w:rPr>
              <w:t xml:space="preserve"> local</w:t>
            </w:r>
            <w:r w:rsidRPr="00B1692F">
              <w:rPr>
                <w:rFonts w:cs="Arial"/>
              </w:rPr>
              <w:t xml:space="preserve"> food and physical activity environments to support children and their families; </w:t>
            </w:r>
          </w:p>
          <w:p w14:paraId="74B2713A" w14:textId="77777777" w:rsidR="00DA6608" w:rsidRPr="00B1692F" w:rsidRDefault="00DA6608" w:rsidP="00660ADA">
            <w:pPr>
              <w:numPr>
                <w:ilvl w:val="0"/>
                <w:numId w:val="24"/>
              </w:numPr>
              <w:jc w:val="both"/>
              <w:rPr>
                <w:rFonts w:cs="Arial"/>
                <w:szCs w:val="24"/>
              </w:rPr>
            </w:pPr>
            <w:r w:rsidRPr="00B1692F">
              <w:rPr>
                <w:rFonts w:cs="Arial"/>
                <w:szCs w:val="24"/>
              </w:rPr>
              <w:t>commission</w:t>
            </w:r>
            <w:r w:rsidR="005249A9">
              <w:rPr>
                <w:rFonts w:cs="Arial"/>
                <w:szCs w:val="24"/>
              </w:rPr>
              <w:t>ing</w:t>
            </w:r>
            <w:r w:rsidRPr="00B1692F">
              <w:rPr>
                <w:rFonts w:cs="Arial"/>
                <w:szCs w:val="24"/>
              </w:rPr>
              <w:t xml:space="preserve"> ScotPHN </w:t>
            </w:r>
            <w:r w:rsidR="003D2A24" w:rsidRPr="00B1692F">
              <w:rPr>
                <w:rFonts w:cs="Arial"/>
                <w:szCs w:val="24"/>
              </w:rPr>
              <w:t xml:space="preserve">(or PHS) </w:t>
            </w:r>
            <w:r w:rsidRPr="00B1692F">
              <w:rPr>
                <w:rFonts w:cs="Arial"/>
                <w:szCs w:val="24"/>
              </w:rPr>
              <w:t>to undertake a scoping exercise to determine: current practices around weighing and measuring of children at the 27-30 month assessment; whether local pathways are in place; what services are available providing additional support for families if a child is identified as above a healthy</w:t>
            </w:r>
            <w:r w:rsidR="005249A9">
              <w:rPr>
                <w:rFonts w:cs="Arial"/>
                <w:szCs w:val="24"/>
              </w:rPr>
              <w:t xml:space="preserve"> weight</w:t>
            </w:r>
            <w:r w:rsidRPr="00B1692F">
              <w:rPr>
                <w:rFonts w:cs="Arial"/>
                <w:szCs w:val="24"/>
              </w:rPr>
              <w:t>; and what resources are being used</w:t>
            </w:r>
            <w:r w:rsidR="00AA6677" w:rsidRPr="00B1692F">
              <w:rPr>
                <w:rFonts w:cs="Arial"/>
                <w:szCs w:val="24"/>
              </w:rPr>
              <w:t>;</w:t>
            </w:r>
          </w:p>
          <w:p w14:paraId="74B2713B" w14:textId="77777777" w:rsidR="003762E3" w:rsidRPr="00B1692F" w:rsidRDefault="003762E3" w:rsidP="00660ADA">
            <w:pPr>
              <w:numPr>
                <w:ilvl w:val="0"/>
                <w:numId w:val="24"/>
              </w:numPr>
              <w:jc w:val="both"/>
              <w:rPr>
                <w:rFonts w:cs="Arial"/>
              </w:rPr>
            </w:pPr>
            <w:r w:rsidRPr="00B1692F">
              <w:rPr>
                <w:rFonts w:cs="Arial"/>
              </w:rPr>
              <w:t xml:space="preserve">ensuring that health </w:t>
            </w:r>
            <w:r w:rsidR="00A6544A">
              <w:rPr>
                <w:rFonts w:cs="Arial"/>
              </w:rPr>
              <w:t xml:space="preserve">and other </w:t>
            </w:r>
            <w:r w:rsidRPr="00B1692F">
              <w:rPr>
                <w:rFonts w:cs="Arial"/>
              </w:rPr>
              <w:t xml:space="preserve">professionals are equipped with practical </w:t>
            </w:r>
            <w:r w:rsidR="00A10BBD" w:rsidRPr="00B1692F">
              <w:rPr>
                <w:rFonts w:cs="Arial"/>
              </w:rPr>
              <w:t>skills, the</w:t>
            </w:r>
            <w:r w:rsidRPr="00B1692F">
              <w:rPr>
                <w:rFonts w:cs="Arial"/>
              </w:rPr>
              <w:t xml:space="preserve"> knowledge </w:t>
            </w:r>
            <w:r w:rsidR="005249A9">
              <w:rPr>
                <w:rFonts w:cs="Arial"/>
              </w:rPr>
              <w:t xml:space="preserve">and attributes  </w:t>
            </w:r>
            <w:r w:rsidRPr="00B1692F">
              <w:rPr>
                <w:rFonts w:cs="Arial"/>
              </w:rPr>
              <w:t>to enable them to confidently raise the issue of weight, and the opportunity to deliver inequalities sensitive healthy weight interventions</w:t>
            </w:r>
            <w:r w:rsidR="00A23CCE">
              <w:rPr>
                <w:rFonts w:cs="Arial"/>
              </w:rPr>
              <w:t xml:space="preserve"> or at least signpost individuals towards specialist services</w:t>
            </w:r>
            <w:r w:rsidRPr="00B1692F">
              <w:rPr>
                <w:rFonts w:cs="Arial"/>
              </w:rPr>
              <w:t xml:space="preserve">;  </w:t>
            </w:r>
          </w:p>
          <w:p w14:paraId="74B2713C" w14:textId="77777777" w:rsidR="003762E3" w:rsidRPr="00B1692F" w:rsidRDefault="003762E3" w:rsidP="00660ADA">
            <w:pPr>
              <w:numPr>
                <w:ilvl w:val="0"/>
                <w:numId w:val="24"/>
              </w:numPr>
              <w:jc w:val="both"/>
              <w:rPr>
                <w:rFonts w:cs="Arial"/>
              </w:rPr>
            </w:pPr>
            <w:r w:rsidRPr="00B1692F">
              <w:rPr>
                <w:rFonts w:cs="Arial"/>
              </w:rPr>
              <w:t xml:space="preserve">ensuring staff are competent to have a skilled conversation to encourage, support and enable families to make healthier </w:t>
            </w:r>
            <w:r w:rsidR="005249A9">
              <w:rPr>
                <w:rFonts w:cs="Arial"/>
              </w:rPr>
              <w:t xml:space="preserve">lifestyle </w:t>
            </w:r>
            <w:r w:rsidRPr="00B1692F">
              <w:rPr>
                <w:rFonts w:cs="Arial"/>
              </w:rPr>
              <w:t>choices;</w:t>
            </w:r>
          </w:p>
          <w:p w14:paraId="74B2713D" w14:textId="77777777" w:rsidR="003762E3" w:rsidRPr="00B1692F" w:rsidRDefault="00DA6608" w:rsidP="00660ADA">
            <w:pPr>
              <w:numPr>
                <w:ilvl w:val="0"/>
                <w:numId w:val="24"/>
              </w:numPr>
              <w:jc w:val="both"/>
              <w:rPr>
                <w:rFonts w:cs="Arial"/>
              </w:rPr>
            </w:pPr>
            <w:r w:rsidRPr="00B1692F">
              <w:rPr>
                <w:rFonts w:cs="Arial"/>
              </w:rPr>
              <w:t>facilitating discussion on the i</w:t>
            </w:r>
            <w:r w:rsidR="003762E3" w:rsidRPr="00B1692F">
              <w:rPr>
                <w:rFonts w:cs="Arial"/>
              </w:rPr>
              <w:t>ntroduction of further measurement of children’s BMI around secondary school entry;</w:t>
            </w:r>
          </w:p>
          <w:p w14:paraId="74B2713E" w14:textId="77777777" w:rsidR="003762E3" w:rsidRPr="00B1692F" w:rsidRDefault="003762E3" w:rsidP="00660ADA">
            <w:pPr>
              <w:numPr>
                <w:ilvl w:val="0"/>
                <w:numId w:val="24"/>
              </w:numPr>
              <w:jc w:val="both"/>
              <w:rPr>
                <w:rFonts w:cs="Arial"/>
              </w:rPr>
            </w:pPr>
            <w:r w:rsidRPr="00B1692F">
              <w:rPr>
                <w:rFonts w:cs="Arial"/>
              </w:rPr>
              <w:t xml:space="preserve">ensuring that  the public sector leads by example and working with Community Planning Partnerships and Health &amp; Social Care Partnerships, encouraging and supporting communities and the organisations that work with them to provide necessary leadership; </w:t>
            </w:r>
            <w:r w:rsidR="00A23CCE">
              <w:rPr>
                <w:rFonts w:cs="Arial"/>
              </w:rPr>
              <w:t>that leadership should extend to explicit commitment and action to promote physical activity, healthy eating and healthy weight amongst public sector staff;</w:t>
            </w:r>
          </w:p>
          <w:p w14:paraId="74B2713F" w14:textId="77777777" w:rsidR="003762E3" w:rsidRPr="00B1692F" w:rsidRDefault="003762E3" w:rsidP="00660ADA">
            <w:pPr>
              <w:numPr>
                <w:ilvl w:val="0"/>
                <w:numId w:val="24"/>
              </w:numPr>
              <w:jc w:val="both"/>
              <w:rPr>
                <w:rFonts w:cs="Arial"/>
              </w:rPr>
            </w:pPr>
            <w:r w:rsidRPr="00B1692F">
              <w:rPr>
                <w:rFonts w:cs="Arial"/>
              </w:rPr>
              <w:lastRenderedPageBreak/>
              <w:t xml:space="preserve">ensuring future investment is targeted at the prevention of obesity as well as treatment services; </w:t>
            </w:r>
          </w:p>
          <w:p w14:paraId="74B27140" w14:textId="77777777" w:rsidR="00AA6677" w:rsidRPr="00B1692F" w:rsidRDefault="003762E3" w:rsidP="00660ADA">
            <w:pPr>
              <w:numPr>
                <w:ilvl w:val="0"/>
                <w:numId w:val="24"/>
              </w:numPr>
              <w:jc w:val="both"/>
              <w:rPr>
                <w:rFonts w:cs="Arial"/>
              </w:rPr>
            </w:pPr>
            <w:r w:rsidRPr="00B1692F">
              <w:rPr>
                <w:rFonts w:cs="Arial"/>
              </w:rPr>
              <w:t xml:space="preserve">facilitating the work of national agencies such as Public Health Scotland </w:t>
            </w:r>
            <w:r w:rsidR="00DA6608" w:rsidRPr="00B1692F">
              <w:rPr>
                <w:rFonts w:cs="Arial"/>
              </w:rPr>
              <w:t xml:space="preserve">and Food Standards Scotland </w:t>
            </w:r>
            <w:r w:rsidRPr="00B1692F">
              <w:rPr>
                <w:rFonts w:cs="Arial"/>
              </w:rPr>
              <w:t>in addressing healthy weight; including around planning and licensing of takeaway and fast food outlets</w:t>
            </w:r>
            <w:r w:rsidR="00AA6677" w:rsidRPr="00B1692F">
              <w:rPr>
                <w:rFonts w:cs="Arial"/>
              </w:rPr>
              <w:t xml:space="preserve">.  This would include undertaking a mapping exercise to determine the density of fast food outlets by local authority (based on the </w:t>
            </w:r>
            <w:r w:rsidR="00BD7D6A" w:rsidRPr="00B1692F">
              <w:rPr>
                <w:rFonts w:cs="Arial"/>
              </w:rPr>
              <w:t xml:space="preserve">‘Obesity and the environment’ </w:t>
            </w:r>
            <w:r w:rsidR="00AA6677" w:rsidRPr="00B1692F">
              <w:rPr>
                <w:rFonts w:cs="Arial"/>
              </w:rPr>
              <w:t>report produced by Public Health England</w:t>
            </w:r>
            <w:r w:rsidR="00BD7D6A" w:rsidRPr="00B1692F">
              <w:rPr>
                <w:rStyle w:val="FootnoteReference"/>
                <w:rFonts w:cs="Arial"/>
              </w:rPr>
              <w:footnoteReference w:id="22"/>
            </w:r>
            <w:r w:rsidR="00AA6677" w:rsidRPr="00B1692F">
              <w:rPr>
                <w:rFonts w:cs="Arial"/>
              </w:rPr>
              <w:t>);</w:t>
            </w:r>
          </w:p>
          <w:p w14:paraId="74B27141" w14:textId="77777777" w:rsidR="003762E3" w:rsidRPr="00B1692F" w:rsidRDefault="003762E3" w:rsidP="00660ADA">
            <w:pPr>
              <w:pStyle w:val="ListParagraph"/>
              <w:numPr>
                <w:ilvl w:val="0"/>
                <w:numId w:val="24"/>
              </w:numPr>
              <w:jc w:val="both"/>
              <w:rPr>
                <w:rFonts w:cs="Arial"/>
              </w:rPr>
            </w:pPr>
            <w:r w:rsidRPr="00B1692F">
              <w:rPr>
                <w:rFonts w:cs="Arial"/>
              </w:rPr>
              <w:t>facilitating the work of national agencies such as Public Health Scotland or Sustrans in addressing physical ac</w:t>
            </w:r>
            <w:r w:rsidR="00AA6677" w:rsidRPr="00B1692F">
              <w:rPr>
                <w:rFonts w:cs="Arial"/>
              </w:rPr>
              <w:t>t</w:t>
            </w:r>
            <w:r w:rsidRPr="00B1692F">
              <w:rPr>
                <w:rFonts w:cs="Arial"/>
              </w:rPr>
              <w:t>ivity, around promoting participation in physical ac</w:t>
            </w:r>
            <w:r w:rsidR="00AA6677" w:rsidRPr="00B1692F">
              <w:rPr>
                <w:rFonts w:cs="Arial"/>
              </w:rPr>
              <w:t>tivity</w:t>
            </w:r>
            <w:r w:rsidRPr="00B1692F">
              <w:rPr>
                <w:rFonts w:cs="Arial"/>
              </w:rPr>
              <w:t xml:space="preserve"> and active transport</w:t>
            </w:r>
            <w:r w:rsidR="005744D8">
              <w:rPr>
                <w:rFonts w:cs="Arial"/>
              </w:rPr>
              <w:t xml:space="preserve"> as part of healthy weight init</w:t>
            </w:r>
            <w:r w:rsidR="008F2CB8">
              <w:rPr>
                <w:rFonts w:cs="Arial"/>
              </w:rPr>
              <w:t>i</w:t>
            </w:r>
            <w:r w:rsidR="005744D8">
              <w:rPr>
                <w:rFonts w:cs="Arial"/>
              </w:rPr>
              <w:t>atives</w:t>
            </w:r>
            <w:r w:rsidR="00DA6608" w:rsidRPr="00B1692F">
              <w:rPr>
                <w:rFonts w:cs="Arial"/>
              </w:rPr>
              <w:t>;</w:t>
            </w:r>
            <w:r w:rsidR="005744D8">
              <w:rPr>
                <w:rFonts w:cs="Arial"/>
              </w:rPr>
              <w:t xml:space="preserve"> and</w:t>
            </w:r>
          </w:p>
          <w:p w14:paraId="74B27142" w14:textId="77777777" w:rsidR="003762E3" w:rsidRPr="00B1692F" w:rsidRDefault="005744D8" w:rsidP="00660ADA">
            <w:pPr>
              <w:pStyle w:val="ListParagraph"/>
              <w:numPr>
                <w:ilvl w:val="0"/>
                <w:numId w:val="24"/>
              </w:numPr>
              <w:jc w:val="both"/>
              <w:rPr>
                <w:rFonts w:cs="Arial"/>
              </w:rPr>
            </w:pPr>
            <w:r>
              <w:rPr>
                <w:rFonts w:cs="Arial"/>
              </w:rPr>
              <w:t xml:space="preserve">using </w:t>
            </w:r>
            <w:r w:rsidR="00AA6677" w:rsidRPr="00B1692F">
              <w:rPr>
                <w:rFonts w:cs="Arial"/>
              </w:rPr>
              <w:t>t</w:t>
            </w:r>
            <w:r w:rsidR="003762E3" w:rsidRPr="00B1692F">
              <w:rPr>
                <w:rFonts w:cs="Arial"/>
              </w:rPr>
              <w:t>he influence Scottish Directors of Public Health can bring to ensure that Community Planning Partnerships are accountable for delivery of not only priority 6 but all of the public health priorities.</w:t>
            </w:r>
          </w:p>
          <w:p w14:paraId="74B27143" w14:textId="77777777" w:rsidR="003762E3" w:rsidRDefault="003762E3" w:rsidP="00660ADA">
            <w:pPr>
              <w:jc w:val="both"/>
              <w:rPr>
                <w:b/>
              </w:rPr>
            </w:pPr>
          </w:p>
          <w:p w14:paraId="74B27144" w14:textId="77777777" w:rsidR="005744D8" w:rsidRPr="005744D8" w:rsidRDefault="005744D8" w:rsidP="00660ADA">
            <w:pPr>
              <w:jc w:val="both"/>
            </w:pPr>
            <w:r>
              <w:t>In setting out these specific commitments in the context of health</w:t>
            </w:r>
            <w:r w:rsidR="008F2CB8">
              <w:t>y</w:t>
            </w:r>
            <w:r>
              <w:t xml:space="preserve"> weight actions, the Scottish Directors of Public Health are also mindful of the need to explore wider public health and wellbeing issues associated with eating well and physical activity. Issues such as </w:t>
            </w:r>
            <w:r w:rsidRPr="005744D8">
              <w:t>food insecurity and undernutrition</w:t>
            </w:r>
            <w:r>
              <w:t>, or of cardiovascular fitness, are all part of public health priority 6 and further work to develop position statements on eating well and physical activity is already underway.</w:t>
            </w:r>
          </w:p>
        </w:tc>
      </w:tr>
    </w:tbl>
    <w:p w14:paraId="74B27146" w14:textId="77777777" w:rsidR="00D60AA2" w:rsidRDefault="00D60AA2" w:rsidP="00660ADA">
      <w:pPr>
        <w:tabs>
          <w:tab w:val="left" w:pos="1644"/>
        </w:tabs>
        <w:jc w:val="both"/>
      </w:pPr>
    </w:p>
    <w:p w14:paraId="74B27147" w14:textId="77777777" w:rsidR="005744D8" w:rsidRDefault="005744D8" w:rsidP="00660ADA">
      <w:pPr>
        <w:tabs>
          <w:tab w:val="left" w:pos="1644"/>
        </w:tabs>
        <w:jc w:val="both"/>
      </w:pPr>
    </w:p>
    <w:p w14:paraId="74B27148" w14:textId="77777777" w:rsidR="00671E98" w:rsidRDefault="00671E98" w:rsidP="00660ADA">
      <w:pPr>
        <w:jc w:val="both"/>
      </w:pPr>
    </w:p>
    <w:p w14:paraId="74B27149" w14:textId="77777777" w:rsidR="00671E98" w:rsidRDefault="00671E98" w:rsidP="00660ADA">
      <w:pPr>
        <w:jc w:val="both"/>
      </w:pPr>
    </w:p>
    <w:p w14:paraId="74B2714A" w14:textId="77777777" w:rsidR="004E13EB" w:rsidRDefault="004E13EB" w:rsidP="00660ADA">
      <w:pPr>
        <w:jc w:val="both"/>
      </w:pPr>
      <w:r>
        <w:t>SDsPH PHP6 Healthy Weight Steering Group</w:t>
      </w:r>
    </w:p>
    <w:p w14:paraId="74B2714B" w14:textId="77777777" w:rsidR="00136DC8" w:rsidRDefault="00671E98" w:rsidP="00660ADA">
      <w:pPr>
        <w:jc w:val="both"/>
      </w:pPr>
      <w:r>
        <w:t>January 2019</w:t>
      </w:r>
    </w:p>
    <w:p w14:paraId="74B2714C" w14:textId="77777777" w:rsidR="00F617DD" w:rsidRDefault="00F617DD" w:rsidP="00660ADA">
      <w:pPr>
        <w:jc w:val="both"/>
      </w:pPr>
    </w:p>
    <w:p w14:paraId="74B2714D" w14:textId="77777777" w:rsidR="00F617DD" w:rsidRDefault="00F617DD" w:rsidP="00660ADA">
      <w:pPr>
        <w:jc w:val="both"/>
      </w:pPr>
    </w:p>
    <w:sectPr w:rsidR="00F617DD" w:rsidSect="00660ADA">
      <w:headerReference w:type="even" r:id="rId12"/>
      <w:headerReference w:type="default" r:id="rId13"/>
      <w:footerReference w:type="default" r:id="rId14"/>
      <w:headerReference w:type="first" r:id="rId15"/>
      <w:pgSz w:w="11906" w:h="16838" w:code="9"/>
      <w:pgMar w:top="720" w:right="720" w:bottom="720" w:left="720" w:header="454"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27155" w14:textId="77777777" w:rsidR="009418C8" w:rsidRDefault="009418C8">
      <w:r>
        <w:separator/>
      </w:r>
    </w:p>
  </w:endnote>
  <w:endnote w:type="continuationSeparator" w:id="0">
    <w:p w14:paraId="74B27156" w14:textId="77777777" w:rsidR="009418C8" w:rsidRDefault="009418C8">
      <w:r>
        <w:continuationSeparator/>
      </w:r>
    </w:p>
  </w:endnote>
  <w:endnote w:type="continuationNotice" w:id="1">
    <w:p w14:paraId="74B27157" w14:textId="77777777" w:rsidR="009418C8" w:rsidRDefault="00941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2715B" w14:textId="77777777" w:rsidR="00194B2C" w:rsidRPr="000336D1" w:rsidRDefault="004B51F9" w:rsidP="000336D1">
    <w:pPr>
      <w:pStyle w:val="Footer"/>
      <w:rPr>
        <w:rFonts w:cs="Arial"/>
        <w:szCs w:val="24"/>
      </w:rPr>
    </w:pPr>
    <w:r w:rsidRPr="00C636B9">
      <w:rPr>
        <w:rStyle w:val="PageNumber"/>
        <w:rFonts w:cs="Arial"/>
        <w:szCs w:val="24"/>
      </w:rPr>
      <w:fldChar w:fldCharType="begin"/>
    </w:r>
    <w:r w:rsidR="00194B2C" w:rsidRPr="00C636B9">
      <w:rPr>
        <w:rStyle w:val="PageNumber"/>
        <w:rFonts w:cs="Arial"/>
        <w:szCs w:val="24"/>
      </w:rPr>
      <w:instrText xml:space="preserve"> PAGE </w:instrText>
    </w:r>
    <w:r w:rsidRPr="00C636B9">
      <w:rPr>
        <w:rStyle w:val="PageNumber"/>
        <w:rFonts w:cs="Arial"/>
        <w:szCs w:val="24"/>
      </w:rPr>
      <w:fldChar w:fldCharType="separate"/>
    </w:r>
    <w:r w:rsidR="005F4DB4">
      <w:rPr>
        <w:rStyle w:val="PageNumber"/>
        <w:rFonts w:cs="Arial"/>
        <w:noProof/>
        <w:szCs w:val="24"/>
      </w:rPr>
      <w:t>1</w:t>
    </w:r>
    <w:r w:rsidRPr="00C636B9">
      <w:rPr>
        <w:rStyle w:val="PageNumber"/>
        <w:rFonts w:cs="Arial"/>
        <w:szCs w:val="24"/>
      </w:rPr>
      <w:fldChar w:fldCharType="end"/>
    </w:r>
    <w:r w:rsidR="00194B2C">
      <w:rPr>
        <w:rStyle w:val="PageNumber"/>
        <w:rFonts w:cs="Arial"/>
        <w:szCs w:val="24"/>
      </w:rPr>
      <w:t xml:space="preserve"> of </w:t>
    </w:r>
    <w:r w:rsidR="00C548C9">
      <w:rPr>
        <w:rStyle w:val="PageNumber"/>
        <w:rFonts w:cs="Arial"/>
        <w:noProof/>
        <w:szCs w:val="24"/>
      </w:rPr>
      <w:fldChar w:fldCharType="begin"/>
    </w:r>
    <w:r w:rsidR="00C548C9">
      <w:rPr>
        <w:rStyle w:val="PageNumber"/>
        <w:rFonts w:cs="Arial"/>
        <w:noProof/>
        <w:szCs w:val="24"/>
      </w:rPr>
      <w:instrText xml:space="preserve"> NUMPAGES   \* MERGEFORMAT </w:instrText>
    </w:r>
    <w:r w:rsidR="00C548C9">
      <w:rPr>
        <w:rStyle w:val="PageNumber"/>
        <w:rFonts w:cs="Arial"/>
        <w:noProof/>
        <w:szCs w:val="24"/>
      </w:rPr>
      <w:fldChar w:fldCharType="separate"/>
    </w:r>
    <w:r w:rsidR="005F4DB4">
      <w:rPr>
        <w:rStyle w:val="PageNumber"/>
        <w:rFonts w:cs="Arial"/>
        <w:noProof/>
        <w:szCs w:val="24"/>
      </w:rPr>
      <w:t>8</w:t>
    </w:r>
    <w:r w:rsidR="00C548C9">
      <w:rPr>
        <w:rStyle w:val="PageNumber"/>
        <w:rFonts w:cs="Arial"/>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27152" w14:textId="77777777" w:rsidR="009418C8" w:rsidRDefault="009418C8">
      <w:r>
        <w:separator/>
      </w:r>
    </w:p>
  </w:footnote>
  <w:footnote w:type="continuationSeparator" w:id="0">
    <w:p w14:paraId="74B27153" w14:textId="77777777" w:rsidR="009418C8" w:rsidRDefault="009418C8">
      <w:r>
        <w:continuationSeparator/>
      </w:r>
    </w:p>
  </w:footnote>
  <w:footnote w:type="continuationNotice" w:id="1">
    <w:p w14:paraId="74B27154" w14:textId="77777777" w:rsidR="009418C8" w:rsidRDefault="009418C8"/>
  </w:footnote>
  <w:footnote w:id="2">
    <w:p w14:paraId="74B27163" w14:textId="77777777" w:rsidR="00194B2C" w:rsidRDefault="00194B2C">
      <w:pPr>
        <w:pStyle w:val="FootnoteText"/>
      </w:pPr>
      <w:r>
        <w:rPr>
          <w:rStyle w:val="FootnoteReference"/>
        </w:rPr>
        <w:footnoteRef/>
      </w:r>
      <w:r>
        <w:t xml:space="preserve"> Scottish Government (2018), Scottish Maternal and Infant Nutrition Survey 2017, </w:t>
      </w:r>
      <w:r w:rsidRPr="0007158B">
        <w:t>https://beta.gov.scot/publications/scottish-maternal-infant-nutrition-survey-2017/</w:t>
      </w:r>
    </w:p>
  </w:footnote>
  <w:footnote w:id="3">
    <w:p w14:paraId="74B27164" w14:textId="77777777" w:rsidR="00194B2C" w:rsidRDefault="00194B2C">
      <w:pPr>
        <w:pStyle w:val="FootnoteText"/>
      </w:pPr>
      <w:r>
        <w:rPr>
          <w:rStyle w:val="FootnoteReference"/>
        </w:rPr>
        <w:footnoteRef/>
      </w:r>
      <w:r>
        <w:t xml:space="preserve"> ISD Scotland (2017), Births in Scottish Hospitals, Year ending 31 March 2017,  </w:t>
      </w:r>
      <w:r w:rsidRPr="0007158B">
        <w:t>https://www.isdscotland.org/Health-Topics/Maternity-and-Births/Publications/2017-11-28/2017-11-28-Births-Report.pdf</w:t>
      </w:r>
    </w:p>
  </w:footnote>
  <w:footnote w:id="4">
    <w:p w14:paraId="74B27165" w14:textId="77777777" w:rsidR="00194B2C" w:rsidRDefault="00194B2C">
      <w:pPr>
        <w:pStyle w:val="FootnoteText"/>
      </w:pPr>
      <w:r>
        <w:rPr>
          <w:rStyle w:val="FootnoteReference"/>
        </w:rPr>
        <w:footnoteRef/>
      </w:r>
      <w:r>
        <w:t xml:space="preserve"> Collier et al (2017), Reported prevalence of gestational diabetes in Scotland: the relationship with obesity, age, socioeconomic status, smoking and macrosomia, and how many are we missing? J Diabetes Investig 8: 161-167</w:t>
      </w:r>
    </w:p>
  </w:footnote>
  <w:footnote w:id="5">
    <w:p w14:paraId="74B27166" w14:textId="77777777" w:rsidR="00194B2C" w:rsidRDefault="00194B2C">
      <w:pPr>
        <w:pStyle w:val="FootnoteText"/>
      </w:pPr>
      <w:r>
        <w:rPr>
          <w:rStyle w:val="FootnoteReference"/>
        </w:rPr>
        <w:footnoteRef/>
      </w:r>
      <w:r>
        <w:t xml:space="preserve"> ISD Scotland (2017), Infant Feeding Statistics Scotland, Financial year of birth 2016/17, </w:t>
      </w:r>
      <w:r w:rsidRPr="0007158B">
        <w:t>https://www.isdscotland.org/Health-Topics/Child-Health/Publications/2017-10-31/2017-10-31-Infant-Feeding-Report.pdf</w:t>
      </w:r>
    </w:p>
  </w:footnote>
  <w:footnote w:id="6">
    <w:p w14:paraId="74B27167" w14:textId="77777777" w:rsidR="00194B2C" w:rsidRDefault="00194B2C">
      <w:pPr>
        <w:pStyle w:val="FootnoteText"/>
      </w:pPr>
      <w:r>
        <w:rPr>
          <w:rStyle w:val="FootnoteReference"/>
        </w:rPr>
        <w:footnoteRef/>
      </w:r>
      <w:r>
        <w:t xml:space="preserve"> Scottish Government (2018), The Scottish Health Survey 2017, volume 1, main report </w:t>
      </w:r>
      <w:r w:rsidRPr="0007158B">
        <w:t>https://www.gov.scot/Resource/0054/00542077.pdf</w:t>
      </w:r>
    </w:p>
  </w:footnote>
  <w:footnote w:id="7">
    <w:p w14:paraId="74B27168" w14:textId="77777777" w:rsidR="00FD6572" w:rsidRDefault="00FD6572">
      <w:pPr>
        <w:pStyle w:val="FootnoteText"/>
      </w:pPr>
      <w:r>
        <w:rPr>
          <w:rStyle w:val="FootnoteReference"/>
        </w:rPr>
        <w:footnoteRef/>
      </w:r>
      <w:r>
        <w:t xml:space="preserve"> Scottish Government (2011), The Scottish Health Survey: Topic Report; Obesity,    </w:t>
      </w:r>
      <w:r w:rsidRPr="00FD6572">
        <w:t>https://www2.gov.scot/Resource/0038/00389668.pdf</w:t>
      </w:r>
    </w:p>
  </w:footnote>
  <w:footnote w:id="8">
    <w:p w14:paraId="74B27169" w14:textId="77777777" w:rsidR="00194B2C" w:rsidRDefault="00194B2C">
      <w:pPr>
        <w:pStyle w:val="FootnoteText"/>
      </w:pPr>
      <w:r>
        <w:rPr>
          <w:rStyle w:val="FootnoteReference"/>
        </w:rPr>
        <w:footnoteRef/>
      </w:r>
      <w:r>
        <w:t xml:space="preserve"> ISD Scotland (2017), Body Mass Index of Primary 1 Children in Scotland, School Year 2016/17,  </w:t>
      </w:r>
      <w:r w:rsidRPr="0007158B">
        <w:t>https://www.isdscotland.org/Health-Topics/Child-Health/Publications/2017-12-12/2017-12-12-P1-BMI-Statistics-Publication-Report.pdf</w:t>
      </w:r>
    </w:p>
  </w:footnote>
  <w:footnote w:id="9">
    <w:p w14:paraId="74B2716A" w14:textId="77777777" w:rsidR="00194B2C" w:rsidRDefault="00194B2C">
      <w:pPr>
        <w:pStyle w:val="FootnoteText"/>
      </w:pPr>
      <w:r>
        <w:rPr>
          <w:rStyle w:val="FootnoteReference"/>
        </w:rPr>
        <w:footnoteRef/>
      </w:r>
      <w:r>
        <w:t xml:space="preserve"> Scottish Government (2018), The Scottish Health Survey 2017, volume 1, main report </w:t>
      </w:r>
      <w:r w:rsidRPr="0007158B">
        <w:t>https://www.gov.scot/Resource/0054/00542077.pdf</w:t>
      </w:r>
    </w:p>
  </w:footnote>
  <w:footnote w:id="10">
    <w:p w14:paraId="74B2716B" w14:textId="77777777" w:rsidR="00EE210B" w:rsidRDefault="00EE210B" w:rsidP="00EE210B">
      <w:pPr>
        <w:pStyle w:val="FootnoteText"/>
      </w:pPr>
      <w:r>
        <w:rPr>
          <w:rStyle w:val="FootnoteReference"/>
        </w:rPr>
        <w:footnoteRef/>
      </w:r>
      <w:r>
        <w:t xml:space="preserve"> WHO (2010), Global recommendations on physical activity for health, </w:t>
      </w:r>
      <w:hyperlink r:id="rId1" w:history="1">
        <w:r w:rsidRPr="00EF4029">
          <w:rPr>
            <w:rStyle w:val="Hyperlink"/>
          </w:rPr>
          <w:t>http://apps.who.int/iris/bitstream/handle/10665/44399/9789241599979_eng.pdf;jsessionid=0469587807E4E6391B9C330C3EE5704D?sequence=1</w:t>
        </w:r>
      </w:hyperlink>
    </w:p>
  </w:footnote>
  <w:footnote w:id="11">
    <w:p w14:paraId="74B2716C" w14:textId="77777777" w:rsidR="00194B2C" w:rsidRDefault="00194B2C">
      <w:pPr>
        <w:pStyle w:val="FootnoteText"/>
      </w:pPr>
      <w:r>
        <w:rPr>
          <w:rStyle w:val="FootnoteReference"/>
        </w:rPr>
        <w:footnoteRef/>
      </w:r>
      <w:r>
        <w:t xml:space="preserve"> Scottish Government (2018), The Scottish Health Survey 2017, volume 1, main report </w:t>
      </w:r>
      <w:r w:rsidRPr="0007158B">
        <w:t>https://www.gov.scot/Resource/0054/00542077.pdf</w:t>
      </w:r>
    </w:p>
  </w:footnote>
  <w:footnote w:id="12">
    <w:p w14:paraId="74B2716D" w14:textId="77777777" w:rsidR="00194B2C" w:rsidRDefault="00194B2C">
      <w:pPr>
        <w:pStyle w:val="FootnoteText"/>
      </w:pPr>
      <w:r>
        <w:rPr>
          <w:rStyle w:val="FootnoteReference"/>
        </w:rPr>
        <w:footnoteRef/>
      </w:r>
      <w:r>
        <w:t xml:space="preserve"> ISD Scotland (2018), National Dental Inspection Programme (NDIP) 2018, </w:t>
      </w:r>
      <w:r w:rsidRPr="00F12E1C">
        <w:t>https://www.isdscotland.org/Health-Topics/Dental-Care/Publications/2018-10-23/2018-10-23-NDIP-Report.pdf</w:t>
      </w:r>
    </w:p>
  </w:footnote>
  <w:footnote w:id="13">
    <w:p w14:paraId="74B2716E" w14:textId="77777777" w:rsidR="00194B2C" w:rsidRDefault="00194B2C">
      <w:pPr>
        <w:pStyle w:val="FootnoteText"/>
      </w:pPr>
      <w:r>
        <w:rPr>
          <w:rStyle w:val="FootnoteReference"/>
        </w:rPr>
        <w:footnoteRef/>
      </w:r>
      <w:r>
        <w:t xml:space="preserve"> Wilkinson &amp; Marmot eds (2003), Social determinants of health: the solid </w:t>
      </w:r>
      <w:r w:rsidR="00A10BBD">
        <w:t>facts. WHO</w:t>
      </w:r>
      <w:r>
        <w:t xml:space="preserve">, </w:t>
      </w:r>
      <w:r w:rsidRPr="00A31CCF">
        <w:t>http://www.euro.who.int/__data/assets/pdf_file/0005/98438/e81384.pdf</w:t>
      </w:r>
    </w:p>
  </w:footnote>
  <w:footnote w:id="14">
    <w:p w14:paraId="74B2716F" w14:textId="77777777" w:rsidR="00194B2C" w:rsidRDefault="00194B2C">
      <w:pPr>
        <w:pStyle w:val="FootnoteText"/>
      </w:pPr>
      <w:r>
        <w:rPr>
          <w:rStyle w:val="FootnoteReference"/>
        </w:rPr>
        <w:footnoteRef/>
      </w:r>
      <w:r>
        <w:t xml:space="preserve"> Scottish Government (2008), Equally Well: Report of the Ministerial Taskforce on Health Inequalities, </w:t>
      </w:r>
      <w:r w:rsidRPr="00182C74">
        <w:t>https://www.gov.scot/resource/doc/229649/0062206.pdf</w:t>
      </w:r>
    </w:p>
  </w:footnote>
  <w:footnote w:id="15">
    <w:p w14:paraId="74B27170" w14:textId="77777777" w:rsidR="00194B2C" w:rsidRDefault="00194B2C">
      <w:pPr>
        <w:pStyle w:val="FootnoteText"/>
      </w:pPr>
      <w:r>
        <w:rPr>
          <w:rStyle w:val="FootnoteReference"/>
        </w:rPr>
        <w:footnoteRef/>
      </w:r>
      <w:r>
        <w:t xml:space="preserve"> WHO (2017), Report of the Commission on Ending Childhood Obesity: implementation plan: executive summary, </w:t>
      </w:r>
      <w:r w:rsidRPr="00CF6986">
        <w:t>https://www.who.int/end-childhood-obesity/publications/echo-plan-executive-summary/en/</w:t>
      </w:r>
    </w:p>
  </w:footnote>
  <w:footnote w:id="16">
    <w:p w14:paraId="74B27171" w14:textId="77777777" w:rsidR="00194B2C" w:rsidRDefault="00194B2C">
      <w:pPr>
        <w:pStyle w:val="FootnoteText"/>
      </w:pPr>
      <w:r>
        <w:rPr>
          <w:rStyle w:val="FootnoteReference"/>
        </w:rPr>
        <w:footnoteRef/>
      </w:r>
      <w:r>
        <w:t xml:space="preserve"> Centers for Disease Control and Prevention (2018), Prevention Strategies and Guidelines, </w:t>
      </w:r>
      <w:r w:rsidRPr="00927337">
        <w:t>https://www.cdc.gov/obesity/resources/strategies-guidelines.html</w:t>
      </w:r>
    </w:p>
  </w:footnote>
  <w:footnote w:id="17">
    <w:p w14:paraId="74B27172" w14:textId="77777777" w:rsidR="00194B2C" w:rsidRDefault="00194B2C">
      <w:pPr>
        <w:pStyle w:val="FootnoteText"/>
      </w:pPr>
      <w:r>
        <w:rPr>
          <w:rStyle w:val="FootnoteReference"/>
        </w:rPr>
        <w:footnoteRef/>
      </w:r>
      <w:r>
        <w:t xml:space="preserve"> Royal College of Paediatrics and Child Health (2018), Response to Health and Social Care Committee childhood obesity inquiry, </w:t>
      </w:r>
      <w:r w:rsidRPr="009F5A06">
        <w:t>https://www.rcpch.ac.uk/sites/default/files/2018-04/childhood_obesity_inquiry_-_health_and_social_care_committee.pdf</w:t>
      </w:r>
    </w:p>
  </w:footnote>
  <w:footnote w:id="18">
    <w:p w14:paraId="74B27173" w14:textId="77777777" w:rsidR="00194B2C" w:rsidRDefault="00194B2C">
      <w:pPr>
        <w:pStyle w:val="FootnoteText"/>
      </w:pPr>
      <w:r>
        <w:rPr>
          <w:rStyle w:val="FootnoteReference"/>
        </w:rPr>
        <w:footnoteRef/>
      </w:r>
      <w:r>
        <w:t xml:space="preserve"> Cancer Research UK and UK Health Prevention First Forum, Tipping the Scales: why preventing obesity makes economic sense, </w:t>
      </w:r>
      <w:r w:rsidRPr="009F5A06">
        <w:t>https://www.cancerresearchuk.org/sites/default/files/tipping_the_scales_-_cruk_full_report11.pdf</w:t>
      </w:r>
    </w:p>
  </w:footnote>
  <w:footnote w:id="19">
    <w:p w14:paraId="74B27174" w14:textId="77777777" w:rsidR="00194B2C" w:rsidRDefault="00194B2C">
      <w:pPr>
        <w:pStyle w:val="FootnoteText"/>
      </w:pPr>
      <w:r>
        <w:rPr>
          <w:rStyle w:val="FootnoteReference"/>
        </w:rPr>
        <w:footnoteRef/>
      </w:r>
      <w:r>
        <w:t xml:space="preserve"> WHO (2018), More Active People for a Healthier World: the new Global Action Plan on Physical Activity, </w:t>
      </w:r>
      <w:r w:rsidRPr="00652E96">
        <w:t>http://www.who.int/ncds/prevention/physical-activity/gappa</w:t>
      </w:r>
    </w:p>
  </w:footnote>
  <w:footnote w:id="20">
    <w:p w14:paraId="74B27175" w14:textId="77777777" w:rsidR="00194B2C" w:rsidRDefault="00194B2C">
      <w:pPr>
        <w:pStyle w:val="FootnoteText"/>
      </w:pPr>
      <w:r>
        <w:rPr>
          <w:rStyle w:val="FootnoteReference"/>
        </w:rPr>
        <w:footnoteRef/>
      </w:r>
      <w:r>
        <w:t xml:space="preserve"> Bromley et al (2017), Obesity and health inequalities in Scotland, NHS Health Scotland </w:t>
      </w:r>
      <w:r w:rsidRPr="007D4D6A">
        <w:t>https://www.scotpho.org.uk/publications/reports-and-papers/obesity-and-health-inequalities-in-scotland/</w:t>
      </w:r>
    </w:p>
  </w:footnote>
  <w:footnote w:id="21">
    <w:p w14:paraId="74B27176" w14:textId="77777777" w:rsidR="00194B2C" w:rsidRDefault="00194B2C">
      <w:pPr>
        <w:pStyle w:val="FootnoteText"/>
      </w:pPr>
      <w:r>
        <w:rPr>
          <w:rStyle w:val="FootnoteReference"/>
        </w:rPr>
        <w:footnoteRef/>
      </w:r>
      <w:r>
        <w:t xml:space="preserve"> World Health Organisation (2018), Global action plan on physical activity 2018-2030: more active people for a healthier world </w:t>
      </w:r>
      <w:r w:rsidRPr="00823F22">
        <w:t>http://www.who.int/ncds/prevention/physical-activity/global-action-plan-2018-2030/en/</w:t>
      </w:r>
    </w:p>
  </w:footnote>
  <w:footnote w:id="22">
    <w:p w14:paraId="74B27177" w14:textId="77777777" w:rsidR="00194B2C" w:rsidRPr="00BD7D6A" w:rsidRDefault="00194B2C">
      <w:pPr>
        <w:pStyle w:val="FootnoteText"/>
      </w:pPr>
      <w:r>
        <w:rPr>
          <w:rStyle w:val="FootnoteReference"/>
        </w:rPr>
        <w:footnoteRef/>
      </w:r>
      <w:r>
        <w:t xml:space="preserve"> </w:t>
      </w:r>
      <w:hyperlink r:id="rId2" w:history="1">
        <w:r w:rsidRPr="00BD7D6A">
          <w:rPr>
            <w:rStyle w:val="Hyperlink"/>
          </w:rPr>
          <w:t>https://assets.publishing.service.gov.uk/government/uploads/system/uploads/attachment_data/file/741555/Fast_Food_map.pdf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27158" w14:textId="77777777" w:rsidR="00194B2C" w:rsidRDefault="005F4DB4">
    <w:pPr>
      <w:pStyle w:val="Header"/>
    </w:pPr>
    <w:r>
      <w:rPr>
        <w:noProof/>
      </w:rPr>
      <w:pict w14:anchorId="74B27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595854" o:spid="_x0000_s2050" type="#_x0000_t136" style="position:absolute;margin-left:0;margin-top:0;width:527pt;height:210.8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744D8">
      <w:rPr>
        <w:noProof/>
      </w:rPr>
      <mc:AlternateContent>
        <mc:Choice Requires="wps">
          <w:drawing>
            <wp:anchor distT="0" distB="0" distL="114300" distR="114300" simplePos="0" relativeHeight="251657728" behindDoc="1" locked="0" layoutInCell="0" allowOverlap="1" wp14:anchorId="74B2715F" wp14:editId="74B27160">
              <wp:simplePos x="0" y="0"/>
              <wp:positionH relativeFrom="margin">
                <wp:align>center</wp:align>
              </wp:positionH>
              <wp:positionV relativeFrom="margin">
                <wp:align>center</wp:align>
              </wp:positionV>
              <wp:extent cx="6163310" cy="2465070"/>
              <wp:effectExtent l="0" t="1666875" r="0" b="135445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B2717A" w14:textId="77777777" w:rsidR="005744D8" w:rsidRDefault="005744D8" w:rsidP="005744D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B2715F" id="_x0000_t202" coordsize="21600,21600" o:spt="202" path="m,l,21600r21600,l21600,xe">
              <v:stroke joinstyle="miter"/>
              <v:path gradientshapeok="t" o:connecttype="rect"/>
            </v:shapetype>
            <v:shape id="WordArt 2" o:spid="_x0000_s1028" type="#_x0000_t202" style="position:absolute;margin-left:0;margin-top:0;width:485.3pt;height:194.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Yy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" o:allowincell="f" filled="f" stroked="f">
              <v:stroke joinstyle="round"/>
              <o:lock v:ext="edit" shapetype="t"/>
              <v:textbox style="mso-fit-shape-to-text:t">
                <w:txbxContent>
                  <w:p w14:paraId="74B2717A" w14:textId="77777777" w:rsidR="005744D8" w:rsidRDefault="005744D8" w:rsidP="005744D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27159" w14:textId="77777777" w:rsidR="00194B2C" w:rsidRDefault="005F4DB4" w:rsidP="000B24C1">
    <w:pPr>
      <w:pStyle w:val="Header"/>
      <w:tabs>
        <w:tab w:val="clear" w:pos="4153"/>
        <w:tab w:val="clear" w:pos="8306"/>
      </w:tabs>
    </w:pPr>
    <w:r>
      <w:rPr>
        <w:noProof/>
      </w:rPr>
      <w:pict w14:anchorId="74B27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595855" o:spid="_x0000_s2051" type="#_x0000_t136" style="position:absolute;margin-left:0;margin-top:0;width:527pt;height:210.8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2715C" w14:textId="77777777" w:rsidR="00A647FA" w:rsidRDefault="005F4DB4">
    <w:pPr>
      <w:pStyle w:val="Header"/>
    </w:pPr>
    <w:r>
      <w:rPr>
        <w:noProof/>
      </w:rPr>
      <w:pict w14:anchorId="74B27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595853" o:spid="_x0000_s2049" type="#_x0000_t136" style="position:absolute;margin-left:0;margin-top:0;width:527pt;height:210.8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E65"/>
    <w:multiLevelType w:val="hybridMultilevel"/>
    <w:tmpl w:val="F856ADC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E6B6F"/>
    <w:multiLevelType w:val="hybridMultilevel"/>
    <w:tmpl w:val="517C8A7A"/>
    <w:lvl w:ilvl="0" w:tplc="5A782A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A1D9E"/>
    <w:multiLevelType w:val="hybridMultilevel"/>
    <w:tmpl w:val="E6560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86F78"/>
    <w:multiLevelType w:val="multilevel"/>
    <w:tmpl w:val="2F06471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B64FE3"/>
    <w:multiLevelType w:val="hybridMultilevel"/>
    <w:tmpl w:val="DD6AB2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8147C"/>
    <w:multiLevelType w:val="hybridMultilevel"/>
    <w:tmpl w:val="BC1864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85CCD"/>
    <w:multiLevelType w:val="hybridMultilevel"/>
    <w:tmpl w:val="8BB06C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53030"/>
    <w:multiLevelType w:val="hybridMultilevel"/>
    <w:tmpl w:val="B2A6147A"/>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2B39701B"/>
    <w:multiLevelType w:val="hybridMultilevel"/>
    <w:tmpl w:val="DA963898"/>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B9C32A7"/>
    <w:multiLevelType w:val="hybridMultilevel"/>
    <w:tmpl w:val="B906A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97BAC"/>
    <w:multiLevelType w:val="hybridMultilevel"/>
    <w:tmpl w:val="EDE61C2E"/>
    <w:lvl w:ilvl="0" w:tplc="F77AA9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41F12"/>
    <w:multiLevelType w:val="hybridMultilevel"/>
    <w:tmpl w:val="7BD63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D69A1"/>
    <w:multiLevelType w:val="hybridMultilevel"/>
    <w:tmpl w:val="3F447B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96655"/>
    <w:multiLevelType w:val="hybridMultilevel"/>
    <w:tmpl w:val="922AEB4E"/>
    <w:lvl w:ilvl="0" w:tplc="B448C5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856CC9"/>
    <w:multiLevelType w:val="hybridMultilevel"/>
    <w:tmpl w:val="862CBC4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BC4A6D"/>
    <w:multiLevelType w:val="hybridMultilevel"/>
    <w:tmpl w:val="FAC86E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50B46EE"/>
    <w:multiLevelType w:val="hybridMultilevel"/>
    <w:tmpl w:val="48FC562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59E316A5"/>
    <w:multiLevelType w:val="hybridMultilevel"/>
    <w:tmpl w:val="67A6E7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054FF6"/>
    <w:multiLevelType w:val="hybridMultilevel"/>
    <w:tmpl w:val="C3E6E9F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AB2602"/>
    <w:multiLevelType w:val="hybridMultilevel"/>
    <w:tmpl w:val="893A00A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296AD5"/>
    <w:multiLevelType w:val="hybridMultilevel"/>
    <w:tmpl w:val="199CFA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B7355"/>
    <w:multiLevelType w:val="hybridMultilevel"/>
    <w:tmpl w:val="159A0008"/>
    <w:lvl w:ilvl="0" w:tplc="170ED1D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D04E9C"/>
    <w:multiLevelType w:val="hybridMultilevel"/>
    <w:tmpl w:val="001ECDE6"/>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740"/>
        </w:tabs>
        <w:ind w:left="1740" w:hanging="360"/>
      </w:pPr>
    </w:lvl>
    <w:lvl w:ilvl="2" w:tplc="08090005">
      <w:start w:val="1"/>
      <w:numFmt w:val="decimal"/>
      <w:lvlText w:val="%3."/>
      <w:lvlJc w:val="left"/>
      <w:pPr>
        <w:tabs>
          <w:tab w:val="num" w:pos="2460"/>
        </w:tabs>
        <w:ind w:left="2460" w:hanging="360"/>
      </w:pPr>
    </w:lvl>
    <w:lvl w:ilvl="3" w:tplc="08090001">
      <w:start w:val="1"/>
      <w:numFmt w:val="decimal"/>
      <w:lvlText w:val="%4."/>
      <w:lvlJc w:val="left"/>
      <w:pPr>
        <w:tabs>
          <w:tab w:val="num" w:pos="3180"/>
        </w:tabs>
        <w:ind w:left="3180" w:hanging="360"/>
      </w:pPr>
    </w:lvl>
    <w:lvl w:ilvl="4" w:tplc="08090003">
      <w:start w:val="1"/>
      <w:numFmt w:val="decimal"/>
      <w:lvlText w:val="%5."/>
      <w:lvlJc w:val="left"/>
      <w:pPr>
        <w:tabs>
          <w:tab w:val="num" w:pos="3900"/>
        </w:tabs>
        <w:ind w:left="3900" w:hanging="360"/>
      </w:pPr>
    </w:lvl>
    <w:lvl w:ilvl="5" w:tplc="08090005">
      <w:start w:val="1"/>
      <w:numFmt w:val="decimal"/>
      <w:lvlText w:val="%6."/>
      <w:lvlJc w:val="left"/>
      <w:pPr>
        <w:tabs>
          <w:tab w:val="num" w:pos="4620"/>
        </w:tabs>
        <w:ind w:left="4620" w:hanging="360"/>
      </w:pPr>
    </w:lvl>
    <w:lvl w:ilvl="6" w:tplc="08090001">
      <w:start w:val="1"/>
      <w:numFmt w:val="decimal"/>
      <w:lvlText w:val="%7."/>
      <w:lvlJc w:val="left"/>
      <w:pPr>
        <w:tabs>
          <w:tab w:val="num" w:pos="5340"/>
        </w:tabs>
        <w:ind w:left="5340" w:hanging="360"/>
      </w:pPr>
    </w:lvl>
    <w:lvl w:ilvl="7" w:tplc="08090003">
      <w:start w:val="1"/>
      <w:numFmt w:val="decimal"/>
      <w:lvlText w:val="%8."/>
      <w:lvlJc w:val="left"/>
      <w:pPr>
        <w:tabs>
          <w:tab w:val="num" w:pos="6060"/>
        </w:tabs>
        <w:ind w:left="6060" w:hanging="360"/>
      </w:pPr>
    </w:lvl>
    <w:lvl w:ilvl="8" w:tplc="08090005">
      <w:start w:val="1"/>
      <w:numFmt w:val="decimal"/>
      <w:lvlText w:val="%9."/>
      <w:lvlJc w:val="left"/>
      <w:pPr>
        <w:tabs>
          <w:tab w:val="num" w:pos="6780"/>
        </w:tabs>
        <w:ind w:left="6780" w:hanging="360"/>
      </w:pPr>
    </w:lvl>
  </w:abstractNum>
  <w:abstractNum w:abstractNumId="23" w15:restartNumberingAfterBreak="0">
    <w:nsid w:val="779432A1"/>
    <w:multiLevelType w:val="hybridMultilevel"/>
    <w:tmpl w:val="FD44B54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4D778D"/>
    <w:multiLevelType w:val="hybridMultilevel"/>
    <w:tmpl w:val="371ED27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A91599"/>
    <w:multiLevelType w:val="hybridMultilevel"/>
    <w:tmpl w:val="94F63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8"/>
  </w:num>
  <w:num w:numId="3">
    <w:abstractNumId w:val="20"/>
  </w:num>
  <w:num w:numId="4">
    <w:abstractNumId w:val="6"/>
  </w:num>
  <w:num w:numId="5">
    <w:abstractNumId w:val="7"/>
  </w:num>
  <w:num w:numId="6">
    <w:abstractNumId w:val="5"/>
  </w:num>
  <w:num w:numId="7">
    <w:abstractNumId w:val="4"/>
  </w:num>
  <w:num w:numId="8">
    <w:abstractNumId w:val="1"/>
  </w:num>
  <w:num w:numId="9">
    <w:abstractNumId w:val="10"/>
  </w:num>
  <w:num w:numId="10">
    <w:abstractNumId w:val="12"/>
  </w:num>
  <w:num w:numId="11">
    <w:abstractNumId w:val="13"/>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6"/>
  </w:num>
  <w:num w:numId="15">
    <w:abstractNumId w:val="3"/>
  </w:num>
  <w:num w:numId="16">
    <w:abstractNumId w:val="14"/>
  </w:num>
  <w:num w:numId="17">
    <w:abstractNumId w:val="19"/>
  </w:num>
  <w:num w:numId="18">
    <w:abstractNumId w:val="24"/>
  </w:num>
  <w:num w:numId="19">
    <w:abstractNumId w:val="0"/>
  </w:num>
  <w:num w:numId="20">
    <w:abstractNumId w:val="2"/>
  </w:num>
  <w:num w:numId="21">
    <w:abstractNumId w:val="17"/>
  </w:num>
  <w:num w:numId="22">
    <w:abstractNumId w:val="11"/>
  </w:num>
  <w:num w:numId="23">
    <w:abstractNumId w:val="23"/>
  </w:num>
  <w:num w:numId="24">
    <w:abstractNumId w:val="18"/>
  </w:num>
  <w:num w:numId="25">
    <w:abstractNumId w:val="9"/>
  </w:num>
  <w:num w:numId="2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7A9BFF3-A7E1-48B7-A4D2-162E0238527C}"/>
    <w:docVar w:name="dgnword-eventsink" w:val="88365320"/>
  </w:docVars>
  <w:rsids>
    <w:rsidRoot w:val="00B365B8"/>
    <w:rsid w:val="00000606"/>
    <w:rsid w:val="00001917"/>
    <w:rsid w:val="00002734"/>
    <w:rsid w:val="000127BF"/>
    <w:rsid w:val="00015573"/>
    <w:rsid w:val="00015A75"/>
    <w:rsid w:val="00015F0A"/>
    <w:rsid w:val="00016486"/>
    <w:rsid w:val="000167C0"/>
    <w:rsid w:val="0001681D"/>
    <w:rsid w:val="0002047E"/>
    <w:rsid w:val="00021844"/>
    <w:rsid w:val="00027437"/>
    <w:rsid w:val="000336D1"/>
    <w:rsid w:val="0003573B"/>
    <w:rsid w:val="000360CD"/>
    <w:rsid w:val="00047651"/>
    <w:rsid w:val="0005041B"/>
    <w:rsid w:val="00050A26"/>
    <w:rsid w:val="000512A5"/>
    <w:rsid w:val="000516B3"/>
    <w:rsid w:val="000534D7"/>
    <w:rsid w:val="00056862"/>
    <w:rsid w:val="00056EC7"/>
    <w:rsid w:val="0005700C"/>
    <w:rsid w:val="00061305"/>
    <w:rsid w:val="00061DEF"/>
    <w:rsid w:val="000635A9"/>
    <w:rsid w:val="000638C1"/>
    <w:rsid w:val="00065481"/>
    <w:rsid w:val="00070604"/>
    <w:rsid w:val="000710D5"/>
    <w:rsid w:val="0007137F"/>
    <w:rsid w:val="0007158B"/>
    <w:rsid w:val="0007625A"/>
    <w:rsid w:val="0008229B"/>
    <w:rsid w:val="00082B67"/>
    <w:rsid w:val="00094CB4"/>
    <w:rsid w:val="00095BC5"/>
    <w:rsid w:val="000A07BA"/>
    <w:rsid w:val="000A0CA3"/>
    <w:rsid w:val="000A1892"/>
    <w:rsid w:val="000A4931"/>
    <w:rsid w:val="000A4CE6"/>
    <w:rsid w:val="000A6631"/>
    <w:rsid w:val="000A7142"/>
    <w:rsid w:val="000A7971"/>
    <w:rsid w:val="000B185D"/>
    <w:rsid w:val="000B24C1"/>
    <w:rsid w:val="000C1ADD"/>
    <w:rsid w:val="000C2632"/>
    <w:rsid w:val="000C303D"/>
    <w:rsid w:val="000C3D2E"/>
    <w:rsid w:val="000C694A"/>
    <w:rsid w:val="000C7B31"/>
    <w:rsid w:val="000D228C"/>
    <w:rsid w:val="000D46CC"/>
    <w:rsid w:val="000D4C21"/>
    <w:rsid w:val="000D4D1A"/>
    <w:rsid w:val="000E0E43"/>
    <w:rsid w:val="000F25FE"/>
    <w:rsid w:val="000F329C"/>
    <w:rsid w:val="000F3DF8"/>
    <w:rsid w:val="000F7FE6"/>
    <w:rsid w:val="0010293B"/>
    <w:rsid w:val="00113B61"/>
    <w:rsid w:val="001145AC"/>
    <w:rsid w:val="0011716C"/>
    <w:rsid w:val="00117F13"/>
    <w:rsid w:val="001218C2"/>
    <w:rsid w:val="00121B19"/>
    <w:rsid w:val="001227D7"/>
    <w:rsid w:val="00124790"/>
    <w:rsid w:val="00131323"/>
    <w:rsid w:val="00134CA5"/>
    <w:rsid w:val="00136DC8"/>
    <w:rsid w:val="001374A6"/>
    <w:rsid w:val="00137F55"/>
    <w:rsid w:val="00141A05"/>
    <w:rsid w:val="001428E1"/>
    <w:rsid w:val="00146F92"/>
    <w:rsid w:val="00150377"/>
    <w:rsid w:val="0015061A"/>
    <w:rsid w:val="00150BA1"/>
    <w:rsid w:val="00151DD1"/>
    <w:rsid w:val="00151EB1"/>
    <w:rsid w:val="001522B7"/>
    <w:rsid w:val="0015286D"/>
    <w:rsid w:val="0015395A"/>
    <w:rsid w:val="00154B19"/>
    <w:rsid w:val="00156E1E"/>
    <w:rsid w:val="00157EE3"/>
    <w:rsid w:val="001601C1"/>
    <w:rsid w:val="0016045E"/>
    <w:rsid w:val="0016062A"/>
    <w:rsid w:val="00160B4E"/>
    <w:rsid w:val="0016165F"/>
    <w:rsid w:val="00162734"/>
    <w:rsid w:val="001627F3"/>
    <w:rsid w:val="001655D5"/>
    <w:rsid w:val="00166B4D"/>
    <w:rsid w:val="001747AC"/>
    <w:rsid w:val="00175726"/>
    <w:rsid w:val="0018071F"/>
    <w:rsid w:val="00182C74"/>
    <w:rsid w:val="00183230"/>
    <w:rsid w:val="00184032"/>
    <w:rsid w:val="00186238"/>
    <w:rsid w:val="00192FBF"/>
    <w:rsid w:val="00193ACE"/>
    <w:rsid w:val="00193D6F"/>
    <w:rsid w:val="00194B2C"/>
    <w:rsid w:val="00194BA5"/>
    <w:rsid w:val="001A1E58"/>
    <w:rsid w:val="001A2587"/>
    <w:rsid w:val="001A4F9C"/>
    <w:rsid w:val="001B4482"/>
    <w:rsid w:val="001B5000"/>
    <w:rsid w:val="001B745C"/>
    <w:rsid w:val="001C0AD6"/>
    <w:rsid w:val="001C1B36"/>
    <w:rsid w:val="001C3AAB"/>
    <w:rsid w:val="001C4E8B"/>
    <w:rsid w:val="001C66D0"/>
    <w:rsid w:val="001C69F7"/>
    <w:rsid w:val="001C73D4"/>
    <w:rsid w:val="001C7B4B"/>
    <w:rsid w:val="001D0766"/>
    <w:rsid w:val="001D2038"/>
    <w:rsid w:val="001E0708"/>
    <w:rsid w:val="001E0E6B"/>
    <w:rsid w:val="001E17F3"/>
    <w:rsid w:val="001E7EAD"/>
    <w:rsid w:val="001F099F"/>
    <w:rsid w:val="001F232B"/>
    <w:rsid w:val="001F56A9"/>
    <w:rsid w:val="001F7A62"/>
    <w:rsid w:val="0020018A"/>
    <w:rsid w:val="00201898"/>
    <w:rsid w:val="00202EF1"/>
    <w:rsid w:val="002055E7"/>
    <w:rsid w:val="00205630"/>
    <w:rsid w:val="00206D1A"/>
    <w:rsid w:val="00207786"/>
    <w:rsid w:val="00207BB6"/>
    <w:rsid w:val="0021220D"/>
    <w:rsid w:val="00212704"/>
    <w:rsid w:val="00214A00"/>
    <w:rsid w:val="0021766B"/>
    <w:rsid w:val="002201B5"/>
    <w:rsid w:val="002250D6"/>
    <w:rsid w:val="00226606"/>
    <w:rsid w:val="00227066"/>
    <w:rsid w:val="002273ED"/>
    <w:rsid w:val="00234931"/>
    <w:rsid w:val="00235DE3"/>
    <w:rsid w:val="0023647C"/>
    <w:rsid w:val="002368EF"/>
    <w:rsid w:val="002410E6"/>
    <w:rsid w:val="002417EC"/>
    <w:rsid w:val="00245609"/>
    <w:rsid w:val="00246760"/>
    <w:rsid w:val="00246D07"/>
    <w:rsid w:val="002476CB"/>
    <w:rsid w:val="00252371"/>
    <w:rsid w:val="00254119"/>
    <w:rsid w:val="0025656B"/>
    <w:rsid w:val="00261C03"/>
    <w:rsid w:val="002702C2"/>
    <w:rsid w:val="00272C7E"/>
    <w:rsid w:val="002733C5"/>
    <w:rsid w:val="0027479D"/>
    <w:rsid w:val="00275625"/>
    <w:rsid w:val="00277C3B"/>
    <w:rsid w:val="00280CB3"/>
    <w:rsid w:val="0028245E"/>
    <w:rsid w:val="00286649"/>
    <w:rsid w:val="00287436"/>
    <w:rsid w:val="00287DAD"/>
    <w:rsid w:val="00292035"/>
    <w:rsid w:val="00296C30"/>
    <w:rsid w:val="002A0C59"/>
    <w:rsid w:val="002A1B3A"/>
    <w:rsid w:val="002A2F7E"/>
    <w:rsid w:val="002A4936"/>
    <w:rsid w:val="002A6546"/>
    <w:rsid w:val="002A6A3D"/>
    <w:rsid w:val="002A70CC"/>
    <w:rsid w:val="002A7610"/>
    <w:rsid w:val="002B0979"/>
    <w:rsid w:val="002B16E4"/>
    <w:rsid w:val="002B1C37"/>
    <w:rsid w:val="002B3869"/>
    <w:rsid w:val="002B7718"/>
    <w:rsid w:val="002B7F28"/>
    <w:rsid w:val="002C3603"/>
    <w:rsid w:val="002C401F"/>
    <w:rsid w:val="002C6DB1"/>
    <w:rsid w:val="002C7163"/>
    <w:rsid w:val="002C7D04"/>
    <w:rsid w:val="002D239B"/>
    <w:rsid w:val="002D3813"/>
    <w:rsid w:val="002D49CC"/>
    <w:rsid w:val="002D73D8"/>
    <w:rsid w:val="002E1616"/>
    <w:rsid w:val="002E2B14"/>
    <w:rsid w:val="002E3F4E"/>
    <w:rsid w:val="002E5BB4"/>
    <w:rsid w:val="002F2E4C"/>
    <w:rsid w:val="002F3913"/>
    <w:rsid w:val="002F5AE7"/>
    <w:rsid w:val="002F6200"/>
    <w:rsid w:val="00307421"/>
    <w:rsid w:val="00312514"/>
    <w:rsid w:val="00312A1B"/>
    <w:rsid w:val="003147E9"/>
    <w:rsid w:val="003153AA"/>
    <w:rsid w:val="00316B60"/>
    <w:rsid w:val="00317DC3"/>
    <w:rsid w:val="00320546"/>
    <w:rsid w:val="00320E63"/>
    <w:rsid w:val="00320EE3"/>
    <w:rsid w:val="0032192B"/>
    <w:rsid w:val="003253B4"/>
    <w:rsid w:val="003266AB"/>
    <w:rsid w:val="0032678E"/>
    <w:rsid w:val="003269EC"/>
    <w:rsid w:val="00330868"/>
    <w:rsid w:val="00330879"/>
    <w:rsid w:val="00331303"/>
    <w:rsid w:val="00336CF4"/>
    <w:rsid w:val="0033716F"/>
    <w:rsid w:val="003373FC"/>
    <w:rsid w:val="00337502"/>
    <w:rsid w:val="00340BFE"/>
    <w:rsid w:val="0034344F"/>
    <w:rsid w:val="003436E8"/>
    <w:rsid w:val="00344384"/>
    <w:rsid w:val="00344E4A"/>
    <w:rsid w:val="003471DB"/>
    <w:rsid w:val="00350104"/>
    <w:rsid w:val="003523F2"/>
    <w:rsid w:val="00352DA6"/>
    <w:rsid w:val="003551D7"/>
    <w:rsid w:val="00355961"/>
    <w:rsid w:val="00356C90"/>
    <w:rsid w:val="003601A3"/>
    <w:rsid w:val="0036032C"/>
    <w:rsid w:val="00360E50"/>
    <w:rsid w:val="00363AD1"/>
    <w:rsid w:val="00366CD8"/>
    <w:rsid w:val="00367900"/>
    <w:rsid w:val="00371FC3"/>
    <w:rsid w:val="00372383"/>
    <w:rsid w:val="0037402E"/>
    <w:rsid w:val="003756AF"/>
    <w:rsid w:val="003762E3"/>
    <w:rsid w:val="003764E9"/>
    <w:rsid w:val="00380A46"/>
    <w:rsid w:val="00380D2A"/>
    <w:rsid w:val="0038147C"/>
    <w:rsid w:val="00382191"/>
    <w:rsid w:val="003832F4"/>
    <w:rsid w:val="0038430B"/>
    <w:rsid w:val="00384F07"/>
    <w:rsid w:val="00385053"/>
    <w:rsid w:val="00385940"/>
    <w:rsid w:val="00387377"/>
    <w:rsid w:val="00394EF8"/>
    <w:rsid w:val="00396242"/>
    <w:rsid w:val="00396BE8"/>
    <w:rsid w:val="00397032"/>
    <w:rsid w:val="003977A7"/>
    <w:rsid w:val="003A126B"/>
    <w:rsid w:val="003A16D2"/>
    <w:rsid w:val="003A3602"/>
    <w:rsid w:val="003A5149"/>
    <w:rsid w:val="003A6393"/>
    <w:rsid w:val="003A7EDF"/>
    <w:rsid w:val="003B079D"/>
    <w:rsid w:val="003B1A2D"/>
    <w:rsid w:val="003B38FD"/>
    <w:rsid w:val="003B44B5"/>
    <w:rsid w:val="003B6B1E"/>
    <w:rsid w:val="003B6B35"/>
    <w:rsid w:val="003B729A"/>
    <w:rsid w:val="003B7C61"/>
    <w:rsid w:val="003C0B27"/>
    <w:rsid w:val="003C4DC4"/>
    <w:rsid w:val="003C69A9"/>
    <w:rsid w:val="003C700B"/>
    <w:rsid w:val="003C7088"/>
    <w:rsid w:val="003D1AAC"/>
    <w:rsid w:val="003D28F4"/>
    <w:rsid w:val="003D2A24"/>
    <w:rsid w:val="003D3506"/>
    <w:rsid w:val="003D3C88"/>
    <w:rsid w:val="003D42C2"/>
    <w:rsid w:val="003D605F"/>
    <w:rsid w:val="003D6213"/>
    <w:rsid w:val="003D6D2D"/>
    <w:rsid w:val="003D7DEA"/>
    <w:rsid w:val="003E47CB"/>
    <w:rsid w:val="003E4B62"/>
    <w:rsid w:val="003E5891"/>
    <w:rsid w:val="003F027E"/>
    <w:rsid w:val="003F14D1"/>
    <w:rsid w:val="003F3210"/>
    <w:rsid w:val="003F75A8"/>
    <w:rsid w:val="004040FF"/>
    <w:rsid w:val="00404344"/>
    <w:rsid w:val="00407412"/>
    <w:rsid w:val="00407996"/>
    <w:rsid w:val="00410F5B"/>
    <w:rsid w:val="00413AD9"/>
    <w:rsid w:val="00414989"/>
    <w:rsid w:val="0041713D"/>
    <w:rsid w:val="0042110D"/>
    <w:rsid w:val="00421F2D"/>
    <w:rsid w:val="00422161"/>
    <w:rsid w:val="004224B2"/>
    <w:rsid w:val="0042519B"/>
    <w:rsid w:val="00426FC0"/>
    <w:rsid w:val="00427937"/>
    <w:rsid w:val="004301D6"/>
    <w:rsid w:val="004301FC"/>
    <w:rsid w:val="00431935"/>
    <w:rsid w:val="00434330"/>
    <w:rsid w:val="004372D4"/>
    <w:rsid w:val="004372DB"/>
    <w:rsid w:val="00437C4F"/>
    <w:rsid w:val="00441222"/>
    <w:rsid w:val="00444C3C"/>
    <w:rsid w:val="00451174"/>
    <w:rsid w:val="004523B6"/>
    <w:rsid w:val="00452C9A"/>
    <w:rsid w:val="00454950"/>
    <w:rsid w:val="004554C8"/>
    <w:rsid w:val="0046229D"/>
    <w:rsid w:val="004650A8"/>
    <w:rsid w:val="004674E5"/>
    <w:rsid w:val="004676FA"/>
    <w:rsid w:val="0047082D"/>
    <w:rsid w:val="00471EAD"/>
    <w:rsid w:val="004734B4"/>
    <w:rsid w:val="004739A9"/>
    <w:rsid w:val="00474719"/>
    <w:rsid w:val="004758CE"/>
    <w:rsid w:val="00481A61"/>
    <w:rsid w:val="0048201B"/>
    <w:rsid w:val="004820A0"/>
    <w:rsid w:val="00482F85"/>
    <w:rsid w:val="00483477"/>
    <w:rsid w:val="0048588C"/>
    <w:rsid w:val="004864D8"/>
    <w:rsid w:val="004866DC"/>
    <w:rsid w:val="00490693"/>
    <w:rsid w:val="00492A38"/>
    <w:rsid w:val="00493B35"/>
    <w:rsid w:val="004962A9"/>
    <w:rsid w:val="004A4EE3"/>
    <w:rsid w:val="004A6225"/>
    <w:rsid w:val="004A6F77"/>
    <w:rsid w:val="004B11ED"/>
    <w:rsid w:val="004B22E6"/>
    <w:rsid w:val="004B3B66"/>
    <w:rsid w:val="004B51F9"/>
    <w:rsid w:val="004B6604"/>
    <w:rsid w:val="004B73C1"/>
    <w:rsid w:val="004C001B"/>
    <w:rsid w:val="004C017D"/>
    <w:rsid w:val="004C3A09"/>
    <w:rsid w:val="004C3FDA"/>
    <w:rsid w:val="004C6AE2"/>
    <w:rsid w:val="004C6E60"/>
    <w:rsid w:val="004C7075"/>
    <w:rsid w:val="004C7A7D"/>
    <w:rsid w:val="004D06B7"/>
    <w:rsid w:val="004D242B"/>
    <w:rsid w:val="004D2DB8"/>
    <w:rsid w:val="004D3442"/>
    <w:rsid w:val="004D42CB"/>
    <w:rsid w:val="004D5C48"/>
    <w:rsid w:val="004E13EB"/>
    <w:rsid w:val="004E5D91"/>
    <w:rsid w:val="004E6016"/>
    <w:rsid w:val="004E6F72"/>
    <w:rsid w:val="004E7657"/>
    <w:rsid w:val="004F0D79"/>
    <w:rsid w:val="004F1C8C"/>
    <w:rsid w:val="004F4A64"/>
    <w:rsid w:val="004F7AAB"/>
    <w:rsid w:val="0050028F"/>
    <w:rsid w:val="00500CDF"/>
    <w:rsid w:val="005052BA"/>
    <w:rsid w:val="00505530"/>
    <w:rsid w:val="0050674B"/>
    <w:rsid w:val="005122E3"/>
    <w:rsid w:val="00512392"/>
    <w:rsid w:val="00514F5D"/>
    <w:rsid w:val="00515C0E"/>
    <w:rsid w:val="00522369"/>
    <w:rsid w:val="00523844"/>
    <w:rsid w:val="00523E5E"/>
    <w:rsid w:val="005245A7"/>
    <w:rsid w:val="005249A9"/>
    <w:rsid w:val="00525C32"/>
    <w:rsid w:val="0053338E"/>
    <w:rsid w:val="00535627"/>
    <w:rsid w:val="0053580E"/>
    <w:rsid w:val="0053596E"/>
    <w:rsid w:val="00536FDD"/>
    <w:rsid w:val="00537311"/>
    <w:rsid w:val="00541D51"/>
    <w:rsid w:val="00543E04"/>
    <w:rsid w:val="00544360"/>
    <w:rsid w:val="00546459"/>
    <w:rsid w:val="005467E2"/>
    <w:rsid w:val="00552501"/>
    <w:rsid w:val="005533DE"/>
    <w:rsid w:val="005572C9"/>
    <w:rsid w:val="00562A63"/>
    <w:rsid w:val="00563E3E"/>
    <w:rsid w:val="00566E07"/>
    <w:rsid w:val="00566E43"/>
    <w:rsid w:val="005676AB"/>
    <w:rsid w:val="00567BE7"/>
    <w:rsid w:val="00567FFA"/>
    <w:rsid w:val="00572DAD"/>
    <w:rsid w:val="00572E05"/>
    <w:rsid w:val="005744D8"/>
    <w:rsid w:val="00574D02"/>
    <w:rsid w:val="005750BC"/>
    <w:rsid w:val="0057687A"/>
    <w:rsid w:val="00577E63"/>
    <w:rsid w:val="00580F8E"/>
    <w:rsid w:val="00583E24"/>
    <w:rsid w:val="0058434E"/>
    <w:rsid w:val="0058620C"/>
    <w:rsid w:val="00590A64"/>
    <w:rsid w:val="00591335"/>
    <w:rsid w:val="00595F9D"/>
    <w:rsid w:val="005A3731"/>
    <w:rsid w:val="005A3750"/>
    <w:rsid w:val="005A7761"/>
    <w:rsid w:val="005A7B16"/>
    <w:rsid w:val="005B1022"/>
    <w:rsid w:val="005B4951"/>
    <w:rsid w:val="005B4E47"/>
    <w:rsid w:val="005B753C"/>
    <w:rsid w:val="005C240A"/>
    <w:rsid w:val="005C2B12"/>
    <w:rsid w:val="005C3D6F"/>
    <w:rsid w:val="005C49E5"/>
    <w:rsid w:val="005C5B13"/>
    <w:rsid w:val="005C7592"/>
    <w:rsid w:val="005C7610"/>
    <w:rsid w:val="005D00F0"/>
    <w:rsid w:val="005D0AF6"/>
    <w:rsid w:val="005D3546"/>
    <w:rsid w:val="005D3D24"/>
    <w:rsid w:val="005D4156"/>
    <w:rsid w:val="005D52CB"/>
    <w:rsid w:val="005D6663"/>
    <w:rsid w:val="005E10B2"/>
    <w:rsid w:val="005E1BD4"/>
    <w:rsid w:val="005E36F4"/>
    <w:rsid w:val="005E3960"/>
    <w:rsid w:val="005E43C1"/>
    <w:rsid w:val="005E7A04"/>
    <w:rsid w:val="005F0523"/>
    <w:rsid w:val="005F2187"/>
    <w:rsid w:val="005F24BF"/>
    <w:rsid w:val="005F3B09"/>
    <w:rsid w:val="005F3DD2"/>
    <w:rsid w:val="005F4C40"/>
    <w:rsid w:val="005F4DB4"/>
    <w:rsid w:val="005F5A46"/>
    <w:rsid w:val="005F634A"/>
    <w:rsid w:val="005F6BBD"/>
    <w:rsid w:val="005F6F71"/>
    <w:rsid w:val="00601E48"/>
    <w:rsid w:val="00603774"/>
    <w:rsid w:val="00603A22"/>
    <w:rsid w:val="00604373"/>
    <w:rsid w:val="00605AE6"/>
    <w:rsid w:val="0061052C"/>
    <w:rsid w:val="00610BAC"/>
    <w:rsid w:val="006113F2"/>
    <w:rsid w:val="00611688"/>
    <w:rsid w:val="00611DCA"/>
    <w:rsid w:val="006133D9"/>
    <w:rsid w:val="00616B81"/>
    <w:rsid w:val="00620ED4"/>
    <w:rsid w:val="00621989"/>
    <w:rsid w:val="00621CD4"/>
    <w:rsid w:val="006248A0"/>
    <w:rsid w:val="00625152"/>
    <w:rsid w:val="00625444"/>
    <w:rsid w:val="006267B2"/>
    <w:rsid w:val="0062737A"/>
    <w:rsid w:val="00630438"/>
    <w:rsid w:val="00630534"/>
    <w:rsid w:val="00631028"/>
    <w:rsid w:val="006311A6"/>
    <w:rsid w:val="006340AB"/>
    <w:rsid w:val="00634294"/>
    <w:rsid w:val="00634AD0"/>
    <w:rsid w:val="0064062B"/>
    <w:rsid w:val="00641C87"/>
    <w:rsid w:val="0064485F"/>
    <w:rsid w:val="0064486D"/>
    <w:rsid w:val="00646103"/>
    <w:rsid w:val="00646776"/>
    <w:rsid w:val="006469CC"/>
    <w:rsid w:val="00646E9F"/>
    <w:rsid w:val="00647743"/>
    <w:rsid w:val="006503AF"/>
    <w:rsid w:val="006524E2"/>
    <w:rsid w:val="00652E96"/>
    <w:rsid w:val="0065538E"/>
    <w:rsid w:val="00656CC3"/>
    <w:rsid w:val="0065757B"/>
    <w:rsid w:val="00660ADA"/>
    <w:rsid w:val="0066206D"/>
    <w:rsid w:val="006647EF"/>
    <w:rsid w:val="00664C4A"/>
    <w:rsid w:val="006677AB"/>
    <w:rsid w:val="00670B83"/>
    <w:rsid w:val="00671E98"/>
    <w:rsid w:val="00671F7F"/>
    <w:rsid w:val="00674096"/>
    <w:rsid w:val="006760A9"/>
    <w:rsid w:val="00676DED"/>
    <w:rsid w:val="00681A17"/>
    <w:rsid w:val="00682910"/>
    <w:rsid w:val="00682E20"/>
    <w:rsid w:val="006907D9"/>
    <w:rsid w:val="00695039"/>
    <w:rsid w:val="0069596D"/>
    <w:rsid w:val="006968B3"/>
    <w:rsid w:val="006A2951"/>
    <w:rsid w:val="006B3EDA"/>
    <w:rsid w:val="006B4FDC"/>
    <w:rsid w:val="006B5F0B"/>
    <w:rsid w:val="006B5FAC"/>
    <w:rsid w:val="006B7BAD"/>
    <w:rsid w:val="006C266C"/>
    <w:rsid w:val="006C2F32"/>
    <w:rsid w:val="006C70D3"/>
    <w:rsid w:val="006C78F1"/>
    <w:rsid w:val="006D2D87"/>
    <w:rsid w:val="006D4612"/>
    <w:rsid w:val="006D523A"/>
    <w:rsid w:val="006D7FA3"/>
    <w:rsid w:val="006E066A"/>
    <w:rsid w:val="006E1E98"/>
    <w:rsid w:val="006E3485"/>
    <w:rsid w:val="006E384B"/>
    <w:rsid w:val="006E60F7"/>
    <w:rsid w:val="006F26C2"/>
    <w:rsid w:val="006F2D5D"/>
    <w:rsid w:val="006F4127"/>
    <w:rsid w:val="006F57DF"/>
    <w:rsid w:val="006F69E2"/>
    <w:rsid w:val="006F6BE2"/>
    <w:rsid w:val="00700464"/>
    <w:rsid w:val="0070265B"/>
    <w:rsid w:val="00714AFB"/>
    <w:rsid w:val="007150BD"/>
    <w:rsid w:val="00716033"/>
    <w:rsid w:val="007164D1"/>
    <w:rsid w:val="00721D37"/>
    <w:rsid w:val="00726EF1"/>
    <w:rsid w:val="00727232"/>
    <w:rsid w:val="00727B78"/>
    <w:rsid w:val="0073006C"/>
    <w:rsid w:val="00731A82"/>
    <w:rsid w:val="00732D34"/>
    <w:rsid w:val="00735110"/>
    <w:rsid w:val="007379DA"/>
    <w:rsid w:val="007416EB"/>
    <w:rsid w:val="00741A34"/>
    <w:rsid w:val="007428D2"/>
    <w:rsid w:val="0074555E"/>
    <w:rsid w:val="0074585B"/>
    <w:rsid w:val="00745FC7"/>
    <w:rsid w:val="007509BE"/>
    <w:rsid w:val="00753377"/>
    <w:rsid w:val="00761BA8"/>
    <w:rsid w:val="007620FF"/>
    <w:rsid w:val="0076227A"/>
    <w:rsid w:val="00764B8B"/>
    <w:rsid w:val="0076757A"/>
    <w:rsid w:val="007734FE"/>
    <w:rsid w:val="007752A5"/>
    <w:rsid w:val="00775529"/>
    <w:rsid w:val="00781127"/>
    <w:rsid w:val="0078114F"/>
    <w:rsid w:val="00782488"/>
    <w:rsid w:val="007845B7"/>
    <w:rsid w:val="00785E6B"/>
    <w:rsid w:val="0078657E"/>
    <w:rsid w:val="00787458"/>
    <w:rsid w:val="00791485"/>
    <w:rsid w:val="0079183E"/>
    <w:rsid w:val="0079212D"/>
    <w:rsid w:val="007925E6"/>
    <w:rsid w:val="00792A7B"/>
    <w:rsid w:val="00793416"/>
    <w:rsid w:val="00793C3B"/>
    <w:rsid w:val="00794842"/>
    <w:rsid w:val="00795903"/>
    <w:rsid w:val="007A2049"/>
    <w:rsid w:val="007A34EC"/>
    <w:rsid w:val="007A5950"/>
    <w:rsid w:val="007A6CA2"/>
    <w:rsid w:val="007A7E27"/>
    <w:rsid w:val="007B01BD"/>
    <w:rsid w:val="007B16B6"/>
    <w:rsid w:val="007B2C8A"/>
    <w:rsid w:val="007B4E8D"/>
    <w:rsid w:val="007B6255"/>
    <w:rsid w:val="007B63ED"/>
    <w:rsid w:val="007B742D"/>
    <w:rsid w:val="007B75F7"/>
    <w:rsid w:val="007C0F3B"/>
    <w:rsid w:val="007C37C7"/>
    <w:rsid w:val="007C4418"/>
    <w:rsid w:val="007C55E2"/>
    <w:rsid w:val="007D05A9"/>
    <w:rsid w:val="007D1509"/>
    <w:rsid w:val="007D4023"/>
    <w:rsid w:val="007D4801"/>
    <w:rsid w:val="007D48DC"/>
    <w:rsid w:val="007D4D6A"/>
    <w:rsid w:val="007D531B"/>
    <w:rsid w:val="007D55FE"/>
    <w:rsid w:val="007D6EF4"/>
    <w:rsid w:val="007E0A83"/>
    <w:rsid w:val="007E0E7C"/>
    <w:rsid w:val="007E2621"/>
    <w:rsid w:val="007E4699"/>
    <w:rsid w:val="007E5087"/>
    <w:rsid w:val="007E55E4"/>
    <w:rsid w:val="007E5F73"/>
    <w:rsid w:val="007E6705"/>
    <w:rsid w:val="007F0A34"/>
    <w:rsid w:val="007F248B"/>
    <w:rsid w:val="00800222"/>
    <w:rsid w:val="00801E4C"/>
    <w:rsid w:val="00804BB7"/>
    <w:rsid w:val="00806571"/>
    <w:rsid w:val="008070BD"/>
    <w:rsid w:val="008126FA"/>
    <w:rsid w:val="00813E27"/>
    <w:rsid w:val="00816992"/>
    <w:rsid w:val="00816C75"/>
    <w:rsid w:val="00816E45"/>
    <w:rsid w:val="008217C6"/>
    <w:rsid w:val="00822646"/>
    <w:rsid w:val="00823F22"/>
    <w:rsid w:val="00827913"/>
    <w:rsid w:val="008331D1"/>
    <w:rsid w:val="00840368"/>
    <w:rsid w:val="00843030"/>
    <w:rsid w:val="00845B97"/>
    <w:rsid w:val="00845FA4"/>
    <w:rsid w:val="00847B54"/>
    <w:rsid w:val="00847BD2"/>
    <w:rsid w:val="00850E11"/>
    <w:rsid w:val="00854E1C"/>
    <w:rsid w:val="008557E3"/>
    <w:rsid w:val="00855AF4"/>
    <w:rsid w:val="0086125B"/>
    <w:rsid w:val="00861355"/>
    <w:rsid w:val="00864AA1"/>
    <w:rsid w:val="00866584"/>
    <w:rsid w:val="0087442B"/>
    <w:rsid w:val="008772B6"/>
    <w:rsid w:val="00880849"/>
    <w:rsid w:val="008819CB"/>
    <w:rsid w:val="0088209B"/>
    <w:rsid w:val="00882DC7"/>
    <w:rsid w:val="00885431"/>
    <w:rsid w:val="00886261"/>
    <w:rsid w:val="00886A3F"/>
    <w:rsid w:val="00887DDC"/>
    <w:rsid w:val="00892EDA"/>
    <w:rsid w:val="008948A7"/>
    <w:rsid w:val="008952A6"/>
    <w:rsid w:val="008969F3"/>
    <w:rsid w:val="008974EB"/>
    <w:rsid w:val="008A2E60"/>
    <w:rsid w:val="008A320C"/>
    <w:rsid w:val="008A4549"/>
    <w:rsid w:val="008A4B92"/>
    <w:rsid w:val="008A4C24"/>
    <w:rsid w:val="008A5951"/>
    <w:rsid w:val="008A7FFA"/>
    <w:rsid w:val="008B0105"/>
    <w:rsid w:val="008B0A48"/>
    <w:rsid w:val="008B1406"/>
    <w:rsid w:val="008B1F36"/>
    <w:rsid w:val="008B50CF"/>
    <w:rsid w:val="008B544F"/>
    <w:rsid w:val="008B5EAF"/>
    <w:rsid w:val="008B656E"/>
    <w:rsid w:val="008B6FFF"/>
    <w:rsid w:val="008B7633"/>
    <w:rsid w:val="008B7831"/>
    <w:rsid w:val="008B7F21"/>
    <w:rsid w:val="008C1897"/>
    <w:rsid w:val="008C1A5B"/>
    <w:rsid w:val="008C278A"/>
    <w:rsid w:val="008C5606"/>
    <w:rsid w:val="008C7E9F"/>
    <w:rsid w:val="008D0BF5"/>
    <w:rsid w:val="008D1223"/>
    <w:rsid w:val="008D1C9A"/>
    <w:rsid w:val="008D248D"/>
    <w:rsid w:val="008D4E4D"/>
    <w:rsid w:val="008E0DB3"/>
    <w:rsid w:val="008E0E34"/>
    <w:rsid w:val="008E0FDA"/>
    <w:rsid w:val="008E130C"/>
    <w:rsid w:val="008E26AA"/>
    <w:rsid w:val="008E2843"/>
    <w:rsid w:val="008E3A10"/>
    <w:rsid w:val="008E3D49"/>
    <w:rsid w:val="008E4F36"/>
    <w:rsid w:val="008E59F9"/>
    <w:rsid w:val="008E6BA1"/>
    <w:rsid w:val="008E6E6C"/>
    <w:rsid w:val="008F28E6"/>
    <w:rsid w:val="008F2CB8"/>
    <w:rsid w:val="008F3E6A"/>
    <w:rsid w:val="008F418B"/>
    <w:rsid w:val="008F4A6F"/>
    <w:rsid w:val="00902E16"/>
    <w:rsid w:val="00905A2F"/>
    <w:rsid w:val="00907094"/>
    <w:rsid w:val="00910187"/>
    <w:rsid w:val="00912317"/>
    <w:rsid w:val="00913967"/>
    <w:rsid w:val="00917875"/>
    <w:rsid w:val="00917DD1"/>
    <w:rsid w:val="00920966"/>
    <w:rsid w:val="00923133"/>
    <w:rsid w:val="00923867"/>
    <w:rsid w:val="009260D7"/>
    <w:rsid w:val="00927337"/>
    <w:rsid w:val="00927D8E"/>
    <w:rsid w:val="00931CA1"/>
    <w:rsid w:val="00932D14"/>
    <w:rsid w:val="009361CC"/>
    <w:rsid w:val="00940945"/>
    <w:rsid w:val="009418C8"/>
    <w:rsid w:val="0094196E"/>
    <w:rsid w:val="00942E96"/>
    <w:rsid w:val="00945584"/>
    <w:rsid w:val="009459D6"/>
    <w:rsid w:val="009474C3"/>
    <w:rsid w:val="0095476D"/>
    <w:rsid w:val="00955C77"/>
    <w:rsid w:val="00955D15"/>
    <w:rsid w:val="00956EF5"/>
    <w:rsid w:val="00956FF3"/>
    <w:rsid w:val="00962CF3"/>
    <w:rsid w:val="009636D6"/>
    <w:rsid w:val="00964862"/>
    <w:rsid w:val="00964B27"/>
    <w:rsid w:val="009750A1"/>
    <w:rsid w:val="009773ED"/>
    <w:rsid w:val="00983553"/>
    <w:rsid w:val="00983AEF"/>
    <w:rsid w:val="009850C9"/>
    <w:rsid w:val="00985807"/>
    <w:rsid w:val="009914F4"/>
    <w:rsid w:val="00993332"/>
    <w:rsid w:val="00994708"/>
    <w:rsid w:val="00995D12"/>
    <w:rsid w:val="00997D54"/>
    <w:rsid w:val="009A0128"/>
    <w:rsid w:val="009A1568"/>
    <w:rsid w:val="009A31A0"/>
    <w:rsid w:val="009A3591"/>
    <w:rsid w:val="009A398D"/>
    <w:rsid w:val="009A647A"/>
    <w:rsid w:val="009A7B67"/>
    <w:rsid w:val="009B07C6"/>
    <w:rsid w:val="009B07EB"/>
    <w:rsid w:val="009B083C"/>
    <w:rsid w:val="009B1912"/>
    <w:rsid w:val="009B2F2C"/>
    <w:rsid w:val="009B3D4D"/>
    <w:rsid w:val="009B48E2"/>
    <w:rsid w:val="009B4AAA"/>
    <w:rsid w:val="009B63B2"/>
    <w:rsid w:val="009B76F8"/>
    <w:rsid w:val="009C1CFB"/>
    <w:rsid w:val="009C2DD0"/>
    <w:rsid w:val="009C40F9"/>
    <w:rsid w:val="009C4A4E"/>
    <w:rsid w:val="009D11A2"/>
    <w:rsid w:val="009D5B65"/>
    <w:rsid w:val="009D663F"/>
    <w:rsid w:val="009E19C6"/>
    <w:rsid w:val="009E1AC6"/>
    <w:rsid w:val="009E2259"/>
    <w:rsid w:val="009E3E5C"/>
    <w:rsid w:val="009E5872"/>
    <w:rsid w:val="009E7D1F"/>
    <w:rsid w:val="009F1000"/>
    <w:rsid w:val="009F1BE9"/>
    <w:rsid w:val="009F26AD"/>
    <w:rsid w:val="009F2C64"/>
    <w:rsid w:val="009F32D9"/>
    <w:rsid w:val="009F42A6"/>
    <w:rsid w:val="009F4482"/>
    <w:rsid w:val="009F4935"/>
    <w:rsid w:val="009F4A0A"/>
    <w:rsid w:val="009F5A06"/>
    <w:rsid w:val="009F693C"/>
    <w:rsid w:val="009F7DD9"/>
    <w:rsid w:val="00A036B1"/>
    <w:rsid w:val="00A05B7F"/>
    <w:rsid w:val="00A06D2B"/>
    <w:rsid w:val="00A06E1D"/>
    <w:rsid w:val="00A07DF6"/>
    <w:rsid w:val="00A10BBD"/>
    <w:rsid w:val="00A114FF"/>
    <w:rsid w:val="00A123B8"/>
    <w:rsid w:val="00A1526C"/>
    <w:rsid w:val="00A16A4C"/>
    <w:rsid w:val="00A20728"/>
    <w:rsid w:val="00A20BDB"/>
    <w:rsid w:val="00A21858"/>
    <w:rsid w:val="00A226C8"/>
    <w:rsid w:val="00A23CCE"/>
    <w:rsid w:val="00A2424F"/>
    <w:rsid w:val="00A24F16"/>
    <w:rsid w:val="00A27AD9"/>
    <w:rsid w:val="00A27B02"/>
    <w:rsid w:val="00A31068"/>
    <w:rsid w:val="00A31357"/>
    <w:rsid w:val="00A31CCF"/>
    <w:rsid w:val="00A35425"/>
    <w:rsid w:val="00A377EB"/>
    <w:rsid w:val="00A41073"/>
    <w:rsid w:val="00A45003"/>
    <w:rsid w:val="00A47EE4"/>
    <w:rsid w:val="00A50357"/>
    <w:rsid w:val="00A50475"/>
    <w:rsid w:val="00A5056F"/>
    <w:rsid w:val="00A5087D"/>
    <w:rsid w:val="00A53D97"/>
    <w:rsid w:val="00A566A4"/>
    <w:rsid w:val="00A56B01"/>
    <w:rsid w:val="00A570CB"/>
    <w:rsid w:val="00A579DC"/>
    <w:rsid w:val="00A57D3B"/>
    <w:rsid w:val="00A647FA"/>
    <w:rsid w:val="00A64D08"/>
    <w:rsid w:val="00A6544A"/>
    <w:rsid w:val="00A66158"/>
    <w:rsid w:val="00A66815"/>
    <w:rsid w:val="00A66BFC"/>
    <w:rsid w:val="00A70B81"/>
    <w:rsid w:val="00A71012"/>
    <w:rsid w:val="00A713E4"/>
    <w:rsid w:val="00A73ADA"/>
    <w:rsid w:val="00A73C6C"/>
    <w:rsid w:val="00A73FF7"/>
    <w:rsid w:val="00A74EF0"/>
    <w:rsid w:val="00A80A9B"/>
    <w:rsid w:val="00A80CDB"/>
    <w:rsid w:val="00A81AEC"/>
    <w:rsid w:val="00A90D6D"/>
    <w:rsid w:val="00A91ECD"/>
    <w:rsid w:val="00A94A33"/>
    <w:rsid w:val="00A94D63"/>
    <w:rsid w:val="00A96A55"/>
    <w:rsid w:val="00AA239D"/>
    <w:rsid w:val="00AA5AA6"/>
    <w:rsid w:val="00AA5D3C"/>
    <w:rsid w:val="00AA6677"/>
    <w:rsid w:val="00AA6D11"/>
    <w:rsid w:val="00AB07EE"/>
    <w:rsid w:val="00AB0E2B"/>
    <w:rsid w:val="00AB13A0"/>
    <w:rsid w:val="00AB218E"/>
    <w:rsid w:val="00AB730F"/>
    <w:rsid w:val="00AC01C4"/>
    <w:rsid w:val="00AC1446"/>
    <w:rsid w:val="00AC1C80"/>
    <w:rsid w:val="00AC36AC"/>
    <w:rsid w:val="00AC3C9A"/>
    <w:rsid w:val="00AC73C9"/>
    <w:rsid w:val="00AC7BA3"/>
    <w:rsid w:val="00AD1DEE"/>
    <w:rsid w:val="00AD2A4E"/>
    <w:rsid w:val="00AD563D"/>
    <w:rsid w:val="00AD608A"/>
    <w:rsid w:val="00AE09B0"/>
    <w:rsid w:val="00AE3962"/>
    <w:rsid w:val="00AE64C4"/>
    <w:rsid w:val="00AE7AE3"/>
    <w:rsid w:val="00AF193C"/>
    <w:rsid w:val="00AF29D2"/>
    <w:rsid w:val="00AF2FEF"/>
    <w:rsid w:val="00AF546E"/>
    <w:rsid w:val="00AF7DB7"/>
    <w:rsid w:val="00AF7E3E"/>
    <w:rsid w:val="00B010DD"/>
    <w:rsid w:val="00B019AC"/>
    <w:rsid w:val="00B0225D"/>
    <w:rsid w:val="00B024CE"/>
    <w:rsid w:val="00B05F44"/>
    <w:rsid w:val="00B067FB"/>
    <w:rsid w:val="00B06892"/>
    <w:rsid w:val="00B11608"/>
    <w:rsid w:val="00B12628"/>
    <w:rsid w:val="00B1573B"/>
    <w:rsid w:val="00B1692F"/>
    <w:rsid w:val="00B17C57"/>
    <w:rsid w:val="00B2026B"/>
    <w:rsid w:val="00B20953"/>
    <w:rsid w:val="00B23656"/>
    <w:rsid w:val="00B24007"/>
    <w:rsid w:val="00B25C76"/>
    <w:rsid w:val="00B27ED1"/>
    <w:rsid w:val="00B304AD"/>
    <w:rsid w:val="00B323CF"/>
    <w:rsid w:val="00B34903"/>
    <w:rsid w:val="00B363AE"/>
    <w:rsid w:val="00B365B8"/>
    <w:rsid w:val="00B41497"/>
    <w:rsid w:val="00B4241C"/>
    <w:rsid w:val="00B43359"/>
    <w:rsid w:val="00B44F5D"/>
    <w:rsid w:val="00B461AE"/>
    <w:rsid w:val="00B465E4"/>
    <w:rsid w:val="00B466F4"/>
    <w:rsid w:val="00B50285"/>
    <w:rsid w:val="00B52D8C"/>
    <w:rsid w:val="00B53A26"/>
    <w:rsid w:val="00B55CEF"/>
    <w:rsid w:val="00B56434"/>
    <w:rsid w:val="00B5708E"/>
    <w:rsid w:val="00B61FCD"/>
    <w:rsid w:val="00B6302D"/>
    <w:rsid w:val="00B6302F"/>
    <w:rsid w:val="00B63FFE"/>
    <w:rsid w:val="00B64331"/>
    <w:rsid w:val="00B64404"/>
    <w:rsid w:val="00B65E88"/>
    <w:rsid w:val="00B662FF"/>
    <w:rsid w:val="00B67054"/>
    <w:rsid w:val="00B70F6E"/>
    <w:rsid w:val="00B7116B"/>
    <w:rsid w:val="00B7137D"/>
    <w:rsid w:val="00B71659"/>
    <w:rsid w:val="00B72CF7"/>
    <w:rsid w:val="00B73CD7"/>
    <w:rsid w:val="00B74C37"/>
    <w:rsid w:val="00B766A5"/>
    <w:rsid w:val="00B772F0"/>
    <w:rsid w:val="00B77767"/>
    <w:rsid w:val="00B86660"/>
    <w:rsid w:val="00B8741E"/>
    <w:rsid w:val="00B950FE"/>
    <w:rsid w:val="00B95A5A"/>
    <w:rsid w:val="00BA00F9"/>
    <w:rsid w:val="00BA3ED7"/>
    <w:rsid w:val="00BA5F03"/>
    <w:rsid w:val="00BA7842"/>
    <w:rsid w:val="00BB1928"/>
    <w:rsid w:val="00BB7CAC"/>
    <w:rsid w:val="00BC015F"/>
    <w:rsid w:val="00BC339D"/>
    <w:rsid w:val="00BC3409"/>
    <w:rsid w:val="00BC398F"/>
    <w:rsid w:val="00BC5CCA"/>
    <w:rsid w:val="00BC7FB9"/>
    <w:rsid w:val="00BD2C15"/>
    <w:rsid w:val="00BD3A61"/>
    <w:rsid w:val="00BD440F"/>
    <w:rsid w:val="00BD750F"/>
    <w:rsid w:val="00BD7C2C"/>
    <w:rsid w:val="00BD7D6A"/>
    <w:rsid w:val="00BE14E4"/>
    <w:rsid w:val="00BE163B"/>
    <w:rsid w:val="00BE2560"/>
    <w:rsid w:val="00BE3E48"/>
    <w:rsid w:val="00BE4356"/>
    <w:rsid w:val="00BF09E5"/>
    <w:rsid w:val="00BF1BEA"/>
    <w:rsid w:val="00BF3FE9"/>
    <w:rsid w:val="00BF41A7"/>
    <w:rsid w:val="00BF46B1"/>
    <w:rsid w:val="00BF7B78"/>
    <w:rsid w:val="00C04F99"/>
    <w:rsid w:val="00C07A21"/>
    <w:rsid w:val="00C07AA2"/>
    <w:rsid w:val="00C11F5A"/>
    <w:rsid w:val="00C11FD6"/>
    <w:rsid w:val="00C121D4"/>
    <w:rsid w:val="00C12B5F"/>
    <w:rsid w:val="00C161D6"/>
    <w:rsid w:val="00C20C3F"/>
    <w:rsid w:val="00C224E9"/>
    <w:rsid w:val="00C233AC"/>
    <w:rsid w:val="00C2357F"/>
    <w:rsid w:val="00C24065"/>
    <w:rsid w:val="00C25128"/>
    <w:rsid w:val="00C2586A"/>
    <w:rsid w:val="00C26ECA"/>
    <w:rsid w:val="00C329F6"/>
    <w:rsid w:val="00C342CC"/>
    <w:rsid w:val="00C34926"/>
    <w:rsid w:val="00C34CBD"/>
    <w:rsid w:val="00C34F95"/>
    <w:rsid w:val="00C35E14"/>
    <w:rsid w:val="00C41617"/>
    <w:rsid w:val="00C428B6"/>
    <w:rsid w:val="00C435C0"/>
    <w:rsid w:val="00C443CD"/>
    <w:rsid w:val="00C469DB"/>
    <w:rsid w:val="00C52A4F"/>
    <w:rsid w:val="00C548C9"/>
    <w:rsid w:val="00C55BA8"/>
    <w:rsid w:val="00C5712D"/>
    <w:rsid w:val="00C63362"/>
    <w:rsid w:val="00C636B9"/>
    <w:rsid w:val="00C64359"/>
    <w:rsid w:val="00C644E8"/>
    <w:rsid w:val="00C648CD"/>
    <w:rsid w:val="00C64CE4"/>
    <w:rsid w:val="00C6545D"/>
    <w:rsid w:val="00C70D03"/>
    <w:rsid w:val="00C726BD"/>
    <w:rsid w:val="00C74322"/>
    <w:rsid w:val="00C81C1C"/>
    <w:rsid w:val="00C82BD6"/>
    <w:rsid w:val="00C83C1E"/>
    <w:rsid w:val="00C863A9"/>
    <w:rsid w:val="00C86544"/>
    <w:rsid w:val="00C92CFC"/>
    <w:rsid w:val="00C94549"/>
    <w:rsid w:val="00C958DB"/>
    <w:rsid w:val="00C95B0D"/>
    <w:rsid w:val="00C95B90"/>
    <w:rsid w:val="00C9650D"/>
    <w:rsid w:val="00C971F6"/>
    <w:rsid w:val="00C97EAB"/>
    <w:rsid w:val="00CA0FAA"/>
    <w:rsid w:val="00CA1ACD"/>
    <w:rsid w:val="00CA265F"/>
    <w:rsid w:val="00CA3167"/>
    <w:rsid w:val="00CA4E6E"/>
    <w:rsid w:val="00CA75AA"/>
    <w:rsid w:val="00CB4443"/>
    <w:rsid w:val="00CB4B4A"/>
    <w:rsid w:val="00CB5C15"/>
    <w:rsid w:val="00CC328A"/>
    <w:rsid w:val="00CC5794"/>
    <w:rsid w:val="00CC6A44"/>
    <w:rsid w:val="00CC6A7D"/>
    <w:rsid w:val="00CD0EF1"/>
    <w:rsid w:val="00CD24DE"/>
    <w:rsid w:val="00CD2811"/>
    <w:rsid w:val="00CD57FA"/>
    <w:rsid w:val="00CE1162"/>
    <w:rsid w:val="00CE2B35"/>
    <w:rsid w:val="00CE3E61"/>
    <w:rsid w:val="00CF05D5"/>
    <w:rsid w:val="00CF174D"/>
    <w:rsid w:val="00CF1D63"/>
    <w:rsid w:val="00CF2530"/>
    <w:rsid w:val="00CF3DFB"/>
    <w:rsid w:val="00CF5E09"/>
    <w:rsid w:val="00CF6986"/>
    <w:rsid w:val="00D01CD5"/>
    <w:rsid w:val="00D038E7"/>
    <w:rsid w:val="00D0488B"/>
    <w:rsid w:val="00D0600F"/>
    <w:rsid w:val="00D1106C"/>
    <w:rsid w:val="00D11F76"/>
    <w:rsid w:val="00D13906"/>
    <w:rsid w:val="00D155AE"/>
    <w:rsid w:val="00D17A02"/>
    <w:rsid w:val="00D27121"/>
    <w:rsid w:val="00D312B3"/>
    <w:rsid w:val="00D3265F"/>
    <w:rsid w:val="00D32CF6"/>
    <w:rsid w:val="00D35C0C"/>
    <w:rsid w:val="00D3606A"/>
    <w:rsid w:val="00D364F7"/>
    <w:rsid w:val="00D429F0"/>
    <w:rsid w:val="00D43121"/>
    <w:rsid w:val="00D434FF"/>
    <w:rsid w:val="00D4389D"/>
    <w:rsid w:val="00D44D1E"/>
    <w:rsid w:val="00D45E76"/>
    <w:rsid w:val="00D4645C"/>
    <w:rsid w:val="00D470BB"/>
    <w:rsid w:val="00D5099F"/>
    <w:rsid w:val="00D52179"/>
    <w:rsid w:val="00D524F8"/>
    <w:rsid w:val="00D560E8"/>
    <w:rsid w:val="00D561DD"/>
    <w:rsid w:val="00D568B3"/>
    <w:rsid w:val="00D57155"/>
    <w:rsid w:val="00D60297"/>
    <w:rsid w:val="00D60AA2"/>
    <w:rsid w:val="00D62EF4"/>
    <w:rsid w:val="00D6373D"/>
    <w:rsid w:val="00D650FA"/>
    <w:rsid w:val="00D6552E"/>
    <w:rsid w:val="00D657CF"/>
    <w:rsid w:val="00D72B58"/>
    <w:rsid w:val="00D72DA9"/>
    <w:rsid w:val="00D80028"/>
    <w:rsid w:val="00D8431E"/>
    <w:rsid w:val="00D85C5A"/>
    <w:rsid w:val="00D8636A"/>
    <w:rsid w:val="00D86375"/>
    <w:rsid w:val="00D866A5"/>
    <w:rsid w:val="00D86939"/>
    <w:rsid w:val="00D8784A"/>
    <w:rsid w:val="00D90CE0"/>
    <w:rsid w:val="00D96912"/>
    <w:rsid w:val="00D97B5E"/>
    <w:rsid w:val="00DA036F"/>
    <w:rsid w:val="00DA39C0"/>
    <w:rsid w:val="00DA495D"/>
    <w:rsid w:val="00DA4AB6"/>
    <w:rsid w:val="00DA561A"/>
    <w:rsid w:val="00DA6608"/>
    <w:rsid w:val="00DA6A76"/>
    <w:rsid w:val="00DB1B6D"/>
    <w:rsid w:val="00DB1CCA"/>
    <w:rsid w:val="00DB24EA"/>
    <w:rsid w:val="00DB3804"/>
    <w:rsid w:val="00DB5B44"/>
    <w:rsid w:val="00DB5B46"/>
    <w:rsid w:val="00DB6C12"/>
    <w:rsid w:val="00DB7614"/>
    <w:rsid w:val="00DC088C"/>
    <w:rsid w:val="00DC0CE8"/>
    <w:rsid w:val="00DC13F2"/>
    <w:rsid w:val="00DC2B74"/>
    <w:rsid w:val="00DC36F0"/>
    <w:rsid w:val="00DD2855"/>
    <w:rsid w:val="00DD40A8"/>
    <w:rsid w:val="00DD565F"/>
    <w:rsid w:val="00DD586D"/>
    <w:rsid w:val="00DD5C2D"/>
    <w:rsid w:val="00DE27DE"/>
    <w:rsid w:val="00DE308D"/>
    <w:rsid w:val="00DE31E4"/>
    <w:rsid w:val="00DE4054"/>
    <w:rsid w:val="00DE45DF"/>
    <w:rsid w:val="00DE6560"/>
    <w:rsid w:val="00DE77FA"/>
    <w:rsid w:val="00DF1773"/>
    <w:rsid w:val="00DF1A86"/>
    <w:rsid w:val="00DF3564"/>
    <w:rsid w:val="00DF3850"/>
    <w:rsid w:val="00DF6B02"/>
    <w:rsid w:val="00DF6C7F"/>
    <w:rsid w:val="00E05134"/>
    <w:rsid w:val="00E07CF7"/>
    <w:rsid w:val="00E07D20"/>
    <w:rsid w:val="00E07D79"/>
    <w:rsid w:val="00E10272"/>
    <w:rsid w:val="00E113CF"/>
    <w:rsid w:val="00E1142B"/>
    <w:rsid w:val="00E126FC"/>
    <w:rsid w:val="00E13FFF"/>
    <w:rsid w:val="00E15D07"/>
    <w:rsid w:val="00E15F26"/>
    <w:rsid w:val="00E168D7"/>
    <w:rsid w:val="00E220C8"/>
    <w:rsid w:val="00E22EA7"/>
    <w:rsid w:val="00E25174"/>
    <w:rsid w:val="00E27831"/>
    <w:rsid w:val="00E27CA4"/>
    <w:rsid w:val="00E326DD"/>
    <w:rsid w:val="00E32FA2"/>
    <w:rsid w:val="00E33881"/>
    <w:rsid w:val="00E41722"/>
    <w:rsid w:val="00E4255D"/>
    <w:rsid w:val="00E42C96"/>
    <w:rsid w:val="00E43E60"/>
    <w:rsid w:val="00E44BFE"/>
    <w:rsid w:val="00E455D2"/>
    <w:rsid w:val="00E45B42"/>
    <w:rsid w:val="00E47810"/>
    <w:rsid w:val="00E50C48"/>
    <w:rsid w:val="00E51437"/>
    <w:rsid w:val="00E53737"/>
    <w:rsid w:val="00E53AC8"/>
    <w:rsid w:val="00E54169"/>
    <w:rsid w:val="00E5483F"/>
    <w:rsid w:val="00E54DDA"/>
    <w:rsid w:val="00E55778"/>
    <w:rsid w:val="00E5577B"/>
    <w:rsid w:val="00E60719"/>
    <w:rsid w:val="00E608FB"/>
    <w:rsid w:val="00E60EB8"/>
    <w:rsid w:val="00E61F9D"/>
    <w:rsid w:val="00E622ED"/>
    <w:rsid w:val="00E64813"/>
    <w:rsid w:val="00E67FCE"/>
    <w:rsid w:val="00E70A82"/>
    <w:rsid w:val="00E7112B"/>
    <w:rsid w:val="00E71F71"/>
    <w:rsid w:val="00E74434"/>
    <w:rsid w:val="00E74EF8"/>
    <w:rsid w:val="00E758AD"/>
    <w:rsid w:val="00E763E0"/>
    <w:rsid w:val="00E81CDD"/>
    <w:rsid w:val="00E8252A"/>
    <w:rsid w:val="00E825E9"/>
    <w:rsid w:val="00E8639F"/>
    <w:rsid w:val="00E92258"/>
    <w:rsid w:val="00E92BF1"/>
    <w:rsid w:val="00E9390F"/>
    <w:rsid w:val="00E9417A"/>
    <w:rsid w:val="00E94362"/>
    <w:rsid w:val="00E960CD"/>
    <w:rsid w:val="00EA0F93"/>
    <w:rsid w:val="00EA3039"/>
    <w:rsid w:val="00EA3173"/>
    <w:rsid w:val="00EA31A4"/>
    <w:rsid w:val="00EA501E"/>
    <w:rsid w:val="00EA52BB"/>
    <w:rsid w:val="00EA6266"/>
    <w:rsid w:val="00EA6A4E"/>
    <w:rsid w:val="00EA794D"/>
    <w:rsid w:val="00EB00EB"/>
    <w:rsid w:val="00EB0537"/>
    <w:rsid w:val="00EB0DD0"/>
    <w:rsid w:val="00EB1069"/>
    <w:rsid w:val="00EB1C13"/>
    <w:rsid w:val="00EB59B2"/>
    <w:rsid w:val="00EB6939"/>
    <w:rsid w:val="00EC1C53"/>
    <w:rsid w:val="00EC345E"/>
    <w:rsid w:val="00EC491D"/>
    <w:rsid w:val="00EC4D7E"/>
    <w:rsid w:val="00ED622A"/>
    <w:rsid w:val="00ED6C3A"/>
    <w:rsid w:val="00ED6C3E"/>
    <w:rsid w:val="00EE1523"/>
    <w:rsid w:val="00EE1C7F"/>
    <w:rsid w:val="00EE210B"/>
    <w:rsid w:val="00EE5628"/>
    <w:rsid w:val="00EE562A"/>
    <w:rsid w:val="00EE6B61"/>
    <w:rsid w:val="00EF29EB"/>
    <w:rsid w:val="00EF3F1F"/>
    <w:rsid w:val="00EF5DAD"/>
    <w:rsid w:val="00EF6CA4"/>
    <w:rsid w:val="00EF73D1"/>
    <w:rsid w:val="00F001D9"/>
    <w:rsid w:val="00F00476"/>
    <w:rsid w:val="00F03011"/>
    <w:rsid w:val="00F0343E"/>
    <w:rsid w:val="00F05451"/>
    <w:rsid w:val="00F056E1"/>
    <w:rsid w:val="00F059AB"/>
    <w:rsid w:val="00F05FC2"/>
    <w:rsid w:val="00F10A12"/>
    <w:rsid w:val="00F11361"/>
    <w:rsid w:val="00F11FC0"/>
    <w:rsid w:val="00F12D7A"/>
    <w:rsid w:val="00F12E1C"/>
    <w:rsid w:val="00F174C1"/>
    <w:rsid w:val="00F17BAC"/>
    <w:rsid w:val="00F213C8"/>
    <w:rsid w:val="00F2319D"/>
    <w:rsid w:val="00F2559C"/>
    <w:rsid w:val="00F25EB1"/>
    <w:rsid w:val="00F2677F"/>
    <w:rsid w:val="00F27EDA"/>
    <w:rsid w:val="00F30319"/>
    <w:rsid w:val="00F31205"/>
    <w:rsid w:val="00F33758"/>
    <w:rsid w:val="00F3438E"/>
    <w:rsid w:val="00F346A8"/>
    <w:rsid w:val="00F42D77"/>
    <w:rsid w:val="00F45529"/>
    <w:rsid w:val="00F50789"/>
    <w:rsid w:val="00F50CFA"/>
    <w:rsid w:val="00F50E21"/>
    <w:rsid w:val="00F53C31"/>
    <w:rsid w:val="00F558CA"/>
    <w:rsid w:val="00F57566"/>
    <w:rsid w:val="00F617DD"/>
    <w:rsid w:val="00F67D26"/>
    <w:rsid w:val="00F70265"/>
    <w:rsid w:val="00F7050E"/>
    <w:rsid w:val="00F71273"/>
    <w:rsid w:val="00F72A2D"/>
    <w:rsid w:val="00F72C53"/>
    <w:rsid w:val="00F76D15"/>
    <w:rsid w:val="00F77B89"/>
    <w:rsid w:val="00F801D8"/>
    <w:rsid w:val="00F8114E"/>
    <w:rsid w:val="00F84877"/>
    <w:rsid w:val="00F85A77"/>
    <w:rsid w:val="00F937D8"/>
    <w:rsid w:val="00F94135"/>
    <w:rsid w:val="00F94291"/>
    <w:rsid w:val="00F95CB5"/>
    <w:rsid w:val="00FA23D7"/>
    <w:rsid w:val="00FA2C92"/>
    <w:rsid w:val="00FA671E"/>
    <w:rsid w:val="00FB3C5F"/>
    <w:rsid w:val="00FB3FB2"/>
    <w:rsid w:val="00FB4ACA"/>
    <w:rsid w:val="00FB4B05"/>
    <w:rsid w:val="00FB546A"/>
    <w:rsid w:val="00FB61C8"/>
    <w:rsid w:val="00FB6663"/>
    <w:rsid w:val="00FB771F"/>
    <w:rsid w:val="00FC0C33"/>
    <w:rsid w:val="00FC1EBA"/>
    <w:rsid w:val="00FC2D9F"/>
    <w:rsid w:val="00FC647D"/>
    <w:rsid w:val="00FC7C10"/>
    <w:rsid w:val="00FC7EB0"/>
    <w:rsid w:val="00FD1042"/>
    <w:rsid w:val="00FD10CE"/>
    <w:rsid w:val="00FD20EB"/>
    <w:rsid w:val="00FD2475"/>
    <w:rsid w:val="00FD2843"/>
    <w:rsid w:val="00FD2FC7"/>
    <w:rsid w:val="00FD45F2"/>
    <w:rsid w:val="00FD6572"/>
    <w:rsid w:val="00FD68A7"/>
    <w:rsid w:val="00FE2C38"/>
    <w:rsid w:val="00FE43A0"/>
    <w:rsid w:val="00FE4628"/>
    <w:rsid w:val="00FE4EF6"/>
    <w:rsid w:val="00FE5727"/>
    <w:rsid w:val="00FE6958"/>
    <w:rsid w:val="00FE7476"/>
    <w:rsid w:val="00FF3132"/>
    <w:rsid w:val="00FF4212"/>
    <w:rsid w:val="00FF458D"/>
    <w:rsid w:val="00FF57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B27079"/>
  <w15:docId w15:val="{D4197863-F13E-4981-BBD9-7D07A990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B9"/>
    <w:rPr>
      <w:rFonts w:ascii="Arial" w:hAnsi="Arial"/>
      <w:sz w:val="24"/>
    </w:rPr>
  </w:style>
  <w:style w:type="paragraph" w:styleId="Heading1">
    <w:name w:val="heading 1"/>
    <w:basedOn w:val="Normal"/>
    <w:next w:val="Normal"/>
    <w:qFormat/>
    <w:rsid w:val="00866584"/>
    <w:pPr>
      <w:keepNext/>
      <w:ind w:firstLine="720"/>
      <w:outlineLvl w:val="0"/>
    </w:pPr>
    <w:rPr>
      <w:b/>
      <w:i/>
      <w:sz w:val="22"/>
      <w:lang w:eastAsia="en-US"/>
    </w:rPr>
  </w:style>
  <w:style w:type="paragraph" w:styleId="Heading2">
    <w:name w:val="heading 2"/>
    <w:basedOn w:val="Normal"/>
    <w:next w:val="Normal"/>
    <w:qFormat/>
    <w:rsid w:val="00866584"/>
    <w:pPr>
      <w:keepNext/>
      <w:outlineLvl w:val="1"/>
    </w:pPr>
    <w:rPr>
      <w:b/>
    </w:rPr>
  </w:style>
  <w:style w:type="paragraph" w:styleId="Heading3">
    <w:name w:val="heading 3"/>
    <w:basedOn w:val="Normal"/>
    <w:next w:val="Normal"/>
    <w:qFormat/>
    <w:rsid w:val="00866584"/>
    <w:pPr>
      <w:keepNext/>
      <w:outlineLvl w:val="2"/>
    </w:pPr>
    <w:rPr>
      <w:b/>
    </w:rPr>
  </w:style>
  <w:style w:type="paragraph" w:styleId="Heading4">
    <w:name w:val="heading 4"/>
    <w:basedOn w:val="Normal"/>
    <w:next w:val="Normal"/>
    <w:qFormat/>
    <w:rsid w:val="00866584"/>
    <w:pPr>
      <w:keepNext/>
      <w:outlineLvl w:val="3"/>
    </w:pPr>
  </w:style>
  <w:style w:type="paragraph" w:styleId="Heading5">
    <w:name w:val="heading 5"/>
    <w:basedOn w:val="Normal"/>
    <w:next w:val="Normal"/>
    <w:qFormat/>
    <w:rsid w:val="00866584"/>
    <w:pPr>
      <w:keepNext/>
      <w:outlineLvl w:val="4"/>
    </w:pPr>
    <w:rPr>
      <w:b/>
      <w:i/>
      <w:sz w:val="22"/>
      <w:lang w:eastAsia="en-US"/>
    </w:rPr>
  </w:style>
  <w:style w:type="paragraph" w:styleId="Heading6">
    <w:name w:val="heading 6"/>
    <w:basedOn w:val="Normal"/>
    <w:next w:val="Normal"/>
    <w:qFormat/>
    <w:rsid w:val="00866584"/>
    <w:pPr>
      <w:keepNext/>
      <w:jc w:val="center"/>
      <w:outlineLvl w:val="5"/>
    </w:pPr>
    <w:rPr>
      <w:b/>
      <w:sz w:val="28"/>
    </w:rPr>
  </w:style>
  <w:style w:type="paragraph" w:styleId="Heading7">
    <w:name w:val="heading 7"/>
    <w:basedOn w:val="Normal"/>
    <w:next w:val="Normal"/>
    <w:qFormat/>
    <w:rsid w:val="00866584"/>
    <w:pPr>
      <w:keepNext/>
      <w:outlineLvl w:val="6"/>
    </w:pPr>
    <w:rPr>
      <w:b/>
      <w:i/>
    </w:rPr>
  </w:style>
  <w:style w:type="paragraph" w:styleId="Heading8">
    <w:name w:val="heading 8"/>
    <w:basedOn w:val="Normal"/>
    <w:next w:val="Normal"/>
    <w:qFormat/>
    <w:rsid w:val="00866584"/>
    <w:pPr>
      <w:keepNext/>
      <w:ind w:left="709"/>
      <w:jc w:val="right"/>
      <w:outlineLvl w:val="7"/>
    </w:pPr>
    <w:rPr>
      <w:b/>
      <w:i/>
    </w:rPr>
  </w:style>
  <w:style w:type="paragraph" w:styleId="Heading9">
    <w:name w:val="heading 9"/>
    <w:basedOn w:val="Normal"/>
    <w:next w:val="Normal"/>
    <w:qFormat/>
    <w:rsid w:val="00866584"/>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6584"/>
    <w:pPr>
      <w:tabs>
        <w:tab w:val="center" w:pos="4153"/>
        <w:tab w:val="right" w:pos="8306"/>
      </w:tabs>
    </w:pPr>
  </w:style>
  <w:style w:type="paragraph" w:styleId="Footer">
    <w:name w:val="footer"/>
    <w:basedOn w:val="Normal"/>
    <w:rsid w:val="00866584"/>
    <w:pPr>
      <w:tabs>
        <w:tab w:val="center" w:pos="4153"/>
        <w:tab w:val="right" w:pos="8306"/>
      </w:tabs>
    </w:pPr>
  </w:style>
  <w:style w:type="paragraph" w:styleId="BodyText">
    <w:name w:val="Body Text"/>
    <w:basedOn w:val="Normal"/>
    <w:rsid w:val="00866584"/>
  </w:style>
  <w:style w:type="paragraph" w:styleId="BodyTextIndent">
    <w:name w:val="Body Text Indent"/>
    <w:basedOn w:val="Normal"/>
    <w:rsid w:val="00866584"/>
    <w:rPr>
      <w:b/>
      <w:i/>
      <w:sz w:val="22"/>
      <w:lang w:eastAsia="en-US"/>
    </w:rPr>
  </w:style>
  <w:style w:type="paragraph" w:styleId="Title">
    <w:name w:val="Title"/>
    <w:basedOn w:val="Normal"/>
    <w:qFormat/>
    <w:rsid w:val="00866584"/>
    <w:pPr>
      <w:ind w:right="-1418"/>
      <w:jc w:val="center"/>
    </w:pPr>
    <w:rPr>
      <w:b/>
    </w:rPr>
  </w:style>
  <w:style w:type="paragraph" w:styleId="BodyText2">
    <w:name w:val="Body Text 2"/>
    <w:basedOn w:val="Normal"/>
    <w:rsid w:val="00866584"/>
    <w:rPr>
      <w:b/>
      <w:i/>
    </w:rPr>
  </w:style>
  <w:style w:type="paragraph" w:styleId="BodyText3">
    <w:name w:val="Body Text 3"/>
    <w:basedOn w:val="Normal"/>
    <w:rsid w:val="00866584"/>
    <w:rPr>
      <w:i/>
      <w:sz w:val="28"/>
    </w:rPr>
  </w:style>
  <w:style w:type="paragraph" w:customStyle="1" w:styleId="nhsbase">
    <w:name w:val="nhs_base"/>
    <w:basedOn w:val="Normal"/>
    <w:rsid w:val="00866584"/>
    <w:rPr>
      <w:kern w:val="16"/>
    </w:rPr>
  </w:style>
  <w:style w:type="character" w:styleId="Hyperlink">
    <w:name w:val="Hyperlink"/>
    <w:rsid w:val="00574D02"/>
    <w:rPr>
      <w:color w:val="0000FF"/>
      <w:u w:val="single"/>
    </w:rPr>
  </w:style>
  <w:style w:type="paragraph" w:styleId="BalloonText">
    <w:name w:val="Balloon Text"/>
    <w:basedOn w:val="Normal"/>
    <w:semiHidden/>
    <w:rsid w:val="007E55E4"/>
    <w:rPr>
      <w:rFonts w:ascii="Tahoma" w:hAnsi="Tahoma" w:cs="Tahoma"/>
      <w:sz w:val="16"/>
      <w:szCs w:val="16"/>
    </w:rPr>
  </w:style>
  <w:style w:type="character" w:styleId="PageNumber">
    <w:name w:val="page number"/>
    <w:rsid w:val="00C636B9"/>
    <w:rPr>
      <w:rFonts w:ascii="Arial" w:hAnsi="Arial"/>
      <w:sz w:val="24"/>
    </w:rPr>
  </w:style>
  <w:style w:type="character" w:styleId="CommentReference">
    <w:name w:val="annotation reference"/>
    <w:semiHidden/>
    <w:rsid w:val="005F4C40"/>
    <w:rPr>
      <w:sz w:val="16"/>
      <w:szCs w:val="16"/>
    </w:rPr>
  </w:style>
  <w:style w:type="paragraph" w:styleId="CommentText">
    <w:name w:val="annotation text"/>
    <w:basedOn w:val="Normal"/>
    <w:semiHidden/>
    <w:rsid w:val="005F4C40"/>
    <w:rPr>
      <w:sz w:val="20"/>
    </w:rPr>
  </w:style>
  <w:style w:type="paragraph" w:styleId="CommentSubject">
    <w:name w:val="annotation subject"/>
    <w:basedOn w:val="CommentText"/>
    <w:next w:val="CommentText"/>
    <w:semiHidden/>
    <w:rsid w:val="005F4C40"/>
    <w:rPr>
      <w:b/>
      <w:bCs/>
    </w:rPr>
  </w:style>
  <w:style w:type="table" w:styleId="TableGrid">
    <w:name w:val="Table Grid"/>
    <w:basedOn w:val="TableNormal"/>
    <w:rsid w:val="007C37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B7633"/>
    <w:pPr>
      <w:ind w:left="720"/>
      <w:contextualSpacing/>
    </w:pPr>
  </w:style>
  <w:style w:type="paragraph" w:styleId="FootnoteText">
    <w:name w:val="footnote text"/>
    <w:basedOn w:val="Normal"/>
    <w:link w:val="FootnoteTextChar"/>
    <w:rsid w:val="00535627"/>
    <w:rPr>
      <w:sz w:val="20"/>
    </w:rPr>
  </w:style>
  <w:style w:type="character" w:customStyle="1" w:styleId="FootnoteTextChar">
    <w:name w:val="Footnote Text Char"/>
    <w:link w:val="FootnoteText"/>
    <w:rsid w:val="00535627"/>
    <w:rPr>
      <w:rFonts w:ascii="Arial" w:hAnsi="Arial"/>
    </w:rPr>
  </w:style>
  <w:style w:type="character" w:styleId="FootnoteReference">
    <w:name w:val="footnote reference"/>
    <w:rsid w:val="00535627"/>
    <w:rPr>
      <w:vertAlign w:val="superscript"/>
    </w:rPr>
  </w:style>
  <w:style w:type="character" w:styleId="FollowedHyperlink">
    <w:name w:val="FollowedHyperlink"/>
    <w:basedOn w:val="DefaultParagraphFont"/>
    <w:rsid w:val="002E5BB4"/>
    <w:rPr>
      <w:color w:val="954F72" w:themeColor="followedHyperlink"/>
      <w:u w:val="single"/>
    </w:rPr>
  </w:style>
  <w:style w:type="paragraph" w:styleId="NormalWeb">
    <w:name w:val="Normal (Web)"/>
    <w:basedOn w:val="Normal"/>
    <w:uiPriority w:val="99"/>
    <w:semiHidden/>
    <w:unhideWhenUsed/>
    <w:rsid w:val="005744D8"/>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8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741555/Fast_Food_map.pdf" TargetMode="External"/><Relationship Id="rId1" Type="http://schemas.openxmlformats.org/officeDocument/2006/relationships/hyperlink" Target="http://apps.who.int/iris/bitstream/handle/10665/44399/9789241599979_eng.pdf;jsessionid=0469587807E4E6391B9C330C3EE5704D?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S ScotPHN NLG Priorities for Scotland Document" ma:contentTypeID="0x010100AB71BC9B4D1D724495B6D89DE9CAF18300092E00F1A0CBBB4885B0BFC9B3EAB8921C006A6BCB6E76994B4B9EA8094D073D8975" ma:contentTypeVersion="3" ma:contentTypeDescription="Standard Health Scotland document" ma:contentTypeScope="" ma:versionID="e83a166b2aaa27741677342550f33e2c">
  <xsd:schema xmlns:xsd="http://www.w3.org/2001/XMLSchema" xmlns:xs="http://www.w3.org/2001/XMLSchema" xmlns:p="http://schemas.microsoft.com/office/2006/metadata/properties" xmlns:ns2="79392c51-0192-4e0e-b858-3a8b41b0fb8c" xmlns:ns3="1f9c2a4e-c33c-4586-94ce-504a756e9502" targetNamespace="http://schemas.microsoft.com/office/2006/metadata/properties" ma:root="true" ma:fieldsID="944c2089a0d1cefc120be81d2b16b61a" ns2:_="" ns3:_="">
    <xsd:import namespace="79392c51-0192-4e0e-b858-3a8b41b0fb8c"/>
    <xsd:import namespace="1f9c2a4e-c33c-4586-94ce-504a756e9502"/>
    <xsd:element name="properties">
      <xsd:complexType>
        <xsd:sequence>
          <xsd:element name="documentManagement">
            <xsd:complexType>
              <xsd:all>
                <xsd:element ref="ns2:TaxCatchAll" minOccurs="0"/>
                <xsd:element ref="ns2:TaxCatchAllLabel" minOccurs="0"/>
                <xsd:element ref="ns3:daa1262b318242d28987a366a1d743c9" minOccurs="0"/>
                <xsd:element ref="ns3:f15ab22896834ccda9dd19a0d9fb96a7" minOccurs="0"/>
                <xsd:element ref="ns3:pec585762dee4a4ea7f3d0f1b611b462" minOccurs="0"/>
                <xsd:element ref="ns3:a7e9da1d1f8f41819c14b2fd9a80e611" minOccurs="0"/>
                <xsd:element ref="ns3:la16626abc9c4b8795bcf58742242bf5" minOccurs="0"/>
                <xsd:element ref="ns3:e2d27f2f8de4417687e1ab79cdc9a47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92c51-0192-4e0e-b858-3a8b41b0fb8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6bb179b-2e3d-4740-bae1-cd660314586c}" ma:internalName="TaxCatchAll" ma:showField="CatchAllData" ma:web="1f9c2a4e-c33c-4586-94ce-504a756e950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6bb179b-2e3d-4740-bae1-cd660314586c}" ma:internalName="TaxCatchAllLabel" ma:readOnly="true" ma:showField="CatchAllDataLabel" ma:web="1f9c2a4e-c33c-4586-94ce-504a756e95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9c2a4e-c33c-4586-94ce-504a756e9502" elementFormDefault="qualified">
    <xsd:import namespace="http://schemas.microsoft.com/office/2006/documentManagement/types"/>
    <xsd:import namespace="http://schemas.microsoft.com/office/infopath/2007/PartnerControls"/>
    <xsd:element name="daa1262b318242d28987a366a1d743c9" ma:index="10" ma:taxonomy="true" ma:internalName="daa1262b318242d28987a366a1d743c9" ma:taxonomyFieldName="HSDocumentTag" ma:displayName="HS Document Tag" ma:readOnly="false" ma:default="" ma:fieldId="{daa1262b-3182-42d2-8987-a366a1d743c9}" ma:taxonomyMulti="true" ma:sspId="c0f6cbc1-8b72-4b83-9c85-1dd2ec6ede9a" ma:termSetId="de4b84b4-8f63-4e23-8c8c-3fef434f4083" ma:anchorId="00000000-0000-0000-0000-000000000000" ma:open="false" ma:isKeyword="false">
      <xsd:complexType>
        <xsd:sequence>
          <xsd:element ref="pc:Terms" minOccurs="0" maxOccurs="1"/>
        </xsd:sequence>
      </xsd:complexType>
    </xsd:element>
    <xsd:element name="f15ab22896834ccda9dd19a0d9fb96a7" ma:index="12" nillable="true" ma:taxonomy="true" ma:internalName="f15ab22896834ccda9dd19a0d9fb96a7" ma:taxonomyFieldName="HSYear" ma:displayName="HS Year" ma:indexed="true" ma:readOnly="false" ma:fieldId="{f15ab228-9683-4ccd-a9dd-19a0d9fb96a7}" ma:sspId="c0f6cbc1-8b72-4b83-9c85-1dd2ec6ede9a" ma:termSetId="9144fb4a-73f0-4b6e-aed3-3dd2466e0982" ma:anchorId="00000000-0000-0000-0000-000000000000" ma:open="false" ma:isKeyword="false">
      <xsd:complexType>
        <xsd:sequence>
          <xsd:element ref="pc:Terms" minOccurs="0" maxOccurs="1"/>
        </xsd:sequence>
      </xsd:complexType>
    </xsd:element>
    <xsd:element name="pec585762dee4a4ea7f3d0f1b611b462" ma:index="14" nillable="true" ma:taxonomy="true" ma:internalName="pec585762dee4a4ea7f3d0f1b611b462" ma:taxonomyFieldName="HSMonth" ma:displayName="HS Month" ma:indexed="true" ma:readOnly="false" ma:fieldId="{9ec58576-2dee-4a4e-a7f3-d0f1b611b462}" ma:sspId="c0f6cbc1-8b72-4b83-9c85-1dd2ec6ede9a" ma:termSetId="ac3c59ba-1895-4a12-af7b-2d04ef4651d3" ma:anchorId="00000000-0000-0000-0000-000000000000" ma:open="false" ma:isKeyword="false">
      <xsd:complexType>
        <xsd:sequence>
          <xsd:element ref="pc:Terms" minOccurs="0" maxOccurs="1"/>
        </xsd:sequence>
      </xsd:complexType>
    </xsd:element>
    <xsd:element name="a7e9da1d1f8f41819c14b2fd9a80e611" ma:index="16" nillable="true" ma:taxonomy="true" ma:internalName="a7e9da1d1f8f41819c14b2fd9a80e611" ma:taxonomyFieldName="HSFinancialYear" ma:displayName="HS Financial Year" ma:indexed="true" ma:readOnly="false" ma:fieldId="{a7e9da1d-1f8f-4181-9c14-b2fd9a80e611}" ma:sspId="c0f6cbc1-8b72-4b83-9c85-1dd2ec6ede9a" ma:termSetId="d8e77957-094f-4301-8b05-b81d1ba51751" ma:anchorId="00000000-0000-0000-0000-000000000000" ma:open="false" ma:isKeyword="false">
      <xsd:complexType>
        <xsd:sequence>
          <xsd:element ref="pc:Terms" minOccurs="0" maxOccurs="1"/>
        </xsd:sequence>
      </xsd:complexType>
    </xsd:element>
    <xsd:element name="la16626abc9c4b8795bcf58742242bf5" ma:index="18" ma:taxonomy="true" ma:internalName="la16626abc9c4b8795bcf58742242bf5" ma:taxonomyFieldName="HSScotPHNNLGPrioritiesforScotlandName" ma:displayName="HS ScotPHN NLG Priorities for Scotland Name" ma:indexed="true" ma:readOnly="false" ma:fieldId="{5a16626a-bc9c-4b87-95bc-f58742242bf5}" ma:sspId="c0f6cbc1-8b72-4b83-9c85-1dd2ec6ede9a" ma:termSetId="58d2b720-64fc-446b-80af-2f5c66e2fe80" ma:anchorId="00000000-0000-0000-0000-000000000000" ma:open="false" ma:isKeyword="false">
      <xsd:complexType>
        <xsd:sequence>
          <xsd:element ref="pc:Terms" minOccurs="0" maxOccurs="1"/>
        </xsd:sequence>
      </xsd:complexType>
    </xsd:element>
    <xsd:element name="e2d27f2f8de4417687e1ab79cdc9a47e" ma:index="20" nillable="true" ma:taxonomy="true" ma:internalName="e2d27f2f8de4417687e1ab79cdc9a47e" ma:taxonomyFieldName="HSScotPHNNLGPrioritiesforScotlandFileType" ma:displayName="HS ScotPHN NLG Priorities for Scotland File Type" ma:indexed="true" ma:readOnly="false" ma:fieldId="{e2d27f2f-8de4-4176-87e1-ab79cdc9a47e}" ma:sspId="c0f6cbc1-8b72-4b83-9c85-1dd2ec6ede9a" ma:termSetId="f967de5b-ccb7-4310-a5d3-bf11455391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f6cbc1-8b72-4b83-9c85-1dd2ec6ede9a" ContentTypeId="0x010100AB71BC9B4D1D724495B6D89DE9CAF183" PreviousValue="false"/>
</file>

<file path=customXml/item3.xml><?xml version="1.0" encoding="utf-8"?>
<p:properties xmlns:p="http://schemas.microsoft.com/office/2006/metadata/properties" xmlns:xsi="http://www.w3.org/2001/XMLSchema-instance" xmlns:pc="http://schemas.microsoft.com/office/infopath/2007/PartnerControls">
  <documentManagement>
    <la16626abc9c4b8795bcf58742242bf5 xmlns="1f9c2a4e-c33c-4586-94ce-504a756e9502">
      <Terms xmlns="http://schemas.microsoft.com/office/infopath/2007/PartnerControls">
        <TermInfo xmlns="http://schemas.microsoft.com/office/infopath/2007/PartnerControls">
          <TermName xmlns="http://schemas.microsoft.com/office/infopath/2007/PartnerControls">PHP6: Nutrition and physical activity</TermName>
          <TermId xmlns="http://schemas.microsoft.com/office/infopath/2007/PartnerControls">7133f8c2-39e0-46e1-a63d-1907049b644d</TermId>
        </TermInfo>
      </Terms>
    </la16626abc9c4b8795bcf58742242bf5>
    <TaxCatchAll xmlns="79392c51-0192-4e0e-b858-3a8b41b0fb8c">
      <Value>6899</Value>
      <Value>6201</Value>
      <Value>1508</Value>
      <Value>6244</Value>
      <Value>6874</Value>
      <Value>5411</Value>
      <Value>6344</Value>
      <Value>1685</Value>
    </TaxCatchAll>
    <a7e9da1d1f8f41819c14b2fd9a80e611 xmlns="1f9c2a4e-c33c-4586-94ce-504a756e9502">
      <Terms xmlns="http://schemas.microsoft.com/office/infopath/2007/PartnerControls"/>
    </a7e9da1d1f8f41819c14b2fd9a80e611>
    <daa1262b318242d28987a366a1d743c9 xmlns="1f9c2a4e-c33c-4586-94ce-504a756e9502">
      <Terms xmlns="http://schemas.microsoft.com/office/infopath/2007/PartnerControls">
        <TermInfo xmlns="http://schemas.microsoft.com/office/infopath/2007/PartnerControls">
          <TermName xmlns="http://schemas.microsoft.com/office/infopath/2007/PartnerControls">Public Health Science</TermName>
          <TermId xmlns="http://schemas.microsoft.com/office/infopath/2007/PartnerControls">b2b77e3c-2681-456c-b814-5de530825b32</TermId>
        </TermInfo>
        <TermInfo xmlns="http://schemas.microsoft.com/office/infopath/2007/PartnerControls">
          <TermName xmlns="http://schemas.microsoft.com/office/infopath/2007/PartnerControls">ScotPHN</TermName>
          <TermId xmlns="http://schemas.microsoft.com/office/infopath/2007/PartnerControls">438f79fa-7d9a-47db-b78a-96bfc08f002f</TermId>
        </TermInfo>
        <TermInfo xmlns="http://schemas.microsoft.com/office/infopath/2007/PartnerControls">
          <TermName xmlns="http://schemas.microsoft.com/office/infopath/2007/PartnerControls">National Leadership</TermName>
          <TermId xmlns="http://schemas.microsoft.com/office/infopath/2007/PartnerControls">6981ec36-5b9f-4f0a-b968-2f5bb16eb060</TermId>
        </TermInfo>
        <TermInfo xmlns="http://schemas.microsoft.com/office/infopath/2007/PartnerControls">
          <TermName xmlns="http://schemas.microsoft.com/office/infopath/2007/PartnerControls">Priorities for Scotland</TermName>
          <TermId xmlns="http://schemas.microsoft.com/office/infopath/2007/PartnerControls">524cf4ee-087a-4b9e-a1c3-e32141eb3e2b</TermId>
        </TermInfo>
      </Terms>
    </daa1262b318242d28987a366a1d743c9>
    <e2d27f2f8de4417687e1ab79cdc9a47e xmlns="1f9c2a4e-c33c-4586-94ce-504a756e9502">
      <Terms xmlns="http://schemas.microsoft.com/office/infopath/2007/PartnerControls">
        <TermInfo xmlns="http://schemas.microsoft.com/office/infopath/2007/PartnerControls">
          <TermName xmlns="http://schemas.microsoft.com/office/infopath/2007/PartnerControls">Output</TermName>
          <TermId xmlns="http://schemas.microsoft.com/office/infopath/2007/PartnerControls">210b3df6-52f0-430f-8a2a-a54b912dea43</TermId>
        </TermInfo>
      </Terms>
    </e2d27f2f8de4417687e1ab79cdc9a47e>
    <f15ab22896834ccda9dd19a0d9fb96a7 xmlns="1f9c2a4e-c33c-4586-94ce-504a756e9502">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108c8c6e-9117-47f5-8925-4b152f0cc9eb</TermId>
        </TermInfo>
      </Terms>
    </f15ab22896834ccda9dd19a0d9fb96a7>
    <pec585762dee4a4ea7f3d0f1b611b462 xmlns="1f9c2a4e-c33c-4586-94ce-504a756e9502">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d8deb451-724a-467b-86b1-0f81096bd308</TermId>
        </TermInfo>
      </Terms>
    </pec585762dee4a4ea7f3d0f1b611b46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EB2E-5166-40EE-8598-6716000C9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92c51-0192-4e0e-b858-3a8b41b0fb8c"/>
    <ds:schemaRef ds:uri="1f9c2a4e-c33c-4586-94ce-504a756e9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CC917-AE78-49D4-89A5-FA08D00FA137}">
  <ds:schemaRefs>
    <ds:schemaRef ds:uri="Microsoft.SharePoint.Taxonomy.ContentTypeSync"/>
  </ds:schemaRefs>
</ds:datastoreItem>
</file>

<file path=customXml/itemProps3.xml><?xml version="1.0" encoding="utf-8"?>
<ds:datastoreItem xmlns:ds="http://schemas.openxmlformats.org/officeDocument/2006/customXml" ds:itemID="{4AECDBC0-E21E-4B6F-8BF8-1D203A1404A2}">
  <ds:schemaRef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1f9c2a4e-c33c-4586-94ce-504a756e9502"/>
    <ds:schemaRef ds:uri="79392c51-0192-4e0e-b858-3a8b41b0fb8c"/>
    <ds:schemaRef ds:uri="http://schemas.microsoft.com/office/2006/metadata/properties"/>
  </ds:schemaRefs>
</ds:datastoreItem>
</file>

<file path=customXml/itemProps4.xml><?xml version="1.0" encoding="utf-8"?>
<ds:datastoreItem xmlns:ds="http://schemas.openxmlformats.org/officeDocument/2006/customXml" ds:itemID="{C0981917-6926-4153-A47C-724B94637842}">
  <ds:schemaRefs>
    <ds:schemaRef ds:uri="http://schemas.microsoft.com/sharepoint/v3/contenttype/forms"/>
  </ds:schemaRefs>
</ds:datastoreItem>
</file>

<file path=customXml/itemProps5.xml><?xml version="1.0" encoding="utf-8"?>
<ds:datastoreItem xmlns:ds="http://schemas.openxmlformats.org/officeDocument/2006/customXml" ds:itemID="{1458C6FB-F20A-43B8-AF79-7C26CDB1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Board Paper TEMPLATE inc Guidance for completion</vt:lpstr>
    </vt:vector>
  </TitlesOfParts>
  <Company>Ayrshire &amp; Arran Health Board</Company>
  <LinksUpToDate>false</LinksUpToDate>
  <CharactersWithSpaces>23637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Paper TEMPLATE inc Guidance for completion</dc:title>
  <dc:creator>Ayrshire &amp; Arran Health Board</dc:creator>
  <cp:lastModifiedBy>Gillian McCartney</cp:lastModifiedBy>
  <cp:revision>2</cp:revision>
  <cp:lastPrinted>2013-04-09T15:23:00Z</cp:lastPrinted>
  <dcterms:created xsi:type="dcterms:W3CDTF">2019-12-19T16:04:00Z</dcterms:created>
  <dcterms:modified xsi:type="dcterms:W3CDTF">2019-12-19T16:04:00Z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58900.0000000000</vt:lpwstr>
  </property>
  <property fmtid="{D5CDD505-2E9C-101B-9397-08002B2CF9AE}" pid="3" name="ContentTypeId">
    <vt:lpwstr>0x010100AB71BC9B4D1D724495B6D89DE9CAF18300092E00F1A0CBBB4885B0BFC9B3EAB8921C006A6BCB6E76994B4B9EA8094D073D8975</vt:lpwstr>
  </property>
  <property fmtid="{D5CDD505-2E9C-101B-9397-08002B2CF9AE}" pid="4" name="HSDocumentTag">
    <vt:lpwstr>1508;#Public Health Science|b2b77e3c-2681-456c-b814-5de530825b32;#6201;#ScotPHN|438f79fa-7d9a-47db-b78a-96bfc08f002f;#5411;#National Leadership|6981ec36-5b9f-4f0a-b968-2f5bb16eb060;#6244;#Priorities for Scotland|524cf4ee-087a-4b9e-a1c3-e32141eb3e2b</vt:lpwstr>
  </property>
  <property fmtid="{D5CDD505-2E9C-101B-9397-08002B2CF9AE}" pid="5" name="HSScotPHNNLGPrioritiesforScotlandFileType">
    <vt:lpwstr>6899;#Output|210b3df6-52f0-430f-8a2a-a54b912dea43</vt:lpwstr>
  </property>
  <property fmtid="{D5CDD505-2E9C-101B-9397-08002B2CF9AE}" pid="6" name="HSFinancialYear">
    <vt:lpwstr/>
  </property>
  <property fmtid="{D5CDD505-2E9C-101B-9397-08002B2CF9AE}" pid="7" name="HSYear">
    <vt:lpwstr>6344;#2019|108c8c6e-9117-47f5-8925-4b152f0cc9eb</vt:lpwstr>
  </property>
  <property fmtid="{D5CDD505-2E9C-101B-9397-08002B2CF9AE}" pid="8" name="HSScotPHNNLGPrioritiesforScotlandName">
    <vt:lpwstr>6874;#PHP6: Nutrition and physical activity|7133f8c2-39e0-46e1-a63d-1907049b644d</vt:lpwstr>
  </property>
  <property fmtid="{D5CDD505-2E9C-101B-9397-08002B2CF9AE}" pid="9" name="HSMonth">
    <vt:lpwstr>1685;#August|d8deb451-724a-467b-86b1-0f81096bd308</vt:lpwstr>
  </property>
</Properties>
</file>